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64" w:type="dxa"/>
        <w:tblInd w:w="-106" w:type="dxa"/>
        <w:tblLayout w:type="fixed"/>
        <w:tblLook w:val="0000" w:firstRow="0" w:lastRow="0" w:firstColumn="0" w:lastColumn="0" w:noHBand="0" w:noVBand="0"/>
      </w:tblPr>
      <w:tblGrid>
        <w:gridCol w:w="3364"/>
        <w:gridCol w:w="6300"/>
      </w:tblGrid>
      <w:tr w:rsidR="009620E0" w:rsidRPr="009620E0" w14:paraId="0E21D10E" w14:textId="77777777" w:rsidTr="00206E2F">
        <w:tc>
          <w:tcPr>
            <w:tcW w:w="3364" w:type="dxa"/>
          </w:tcPr>
          <w:p w14:paraId="721D8B40" w14:textId="77777777" w:rsidR="003A35EA" w:rsidRPr="009620E0" w:rsidRDefault="003A35EA" w:rsidP="00376242">
            <w:pPr>
              <w:ind w:left="14" w:right="-14"/>
              <w:jc w:val="center"/>
              <w:rPr>
                <w:spacing w:val="-6"/>
                <w:sz w:val="26"/>
                <w:szCs w:val="26"/>
              </w:rPr>
            </w:pPr>
            <w:r w:rsidRPr="009620E0">
              <w:rPr>
                <w:spacing w:val="-6"/>
                <w:sz w:val="26"/>
                <w:szCs w:val="26"/>
              </w:rPr>
              <w:t>BỘ KẾ HOẠCH VÀ ĐẦU TƯ</w:t>
            </w:r>
          </w:p>
          <w:p w14:paraId="7273F94D" w14:textId="77777777" w:rsidR="003A35EA" w:rsidRPr="009620E0" w:rsidRDefault="003A35EA" w:rsidP="00F359E0">
            <w:pPr>
              <w:spacing w:before="20"/>
              <w:ind w:left="16" w:right="-18"/>
              <w:jc w:val="center"/>
              <w:rPr>
                <w:b/>
                <w:bCs/>
                <w:spacing w:val="-6"/>
                <w:sz w:val="26"/>
                <w:szCs w:val="26"/>
              </w:rPr>
            </w:pPr>
            <w:r w:rsidRPr="009620E0">
              <w:rPr>
                <w:b/>
                <w:bCs/>
                <w:spacing w:val="-6"/>
                <w:sz w:val="26"/>
                <w:szCs w:val="26"/>
              </w:rPr>
              <w:t>TỔNG CỤC THỐNG KÊ</w:t>
            </w:r>
          </w:p>
          <w:p w14:paraId="66300445" w14:textId="77777777" w:rsidR="003A35EA" w:rsidRPr="009620E0" w:rsidRDefault="009F6E57" w:rsidP="00F359E0">
            <w:pPr>
              <w:spacing w:before="120"/>
              <w:ind w:left="16" w:right="-18"/>
              <w:jc w:val="both"/>
              <w:rPr>
                <w:sz w:val="12"/>
                <w:szCs w:val="26"/>
              </w:rPr>
            </w:pPr>
            <w:r w:rsidRPr="009620E0">
              <w:rPr>
                <w:noProof/>
              </w:rPr>
              <mc:AlternateContent>
                <mc:Choice Requires="wps">
                  <w:drawing>
                    <wp:anchor distT="0" distB="0" distL="114300" distR="114300" simplePos="0" relativeHeight="251653632" behindDoc="0" locked="0" layoutInCell="1" allowOverlap="1" wp14:anchorId="51C78D43" wp14:editId="6F831B3A">
                      <wp:simplePos x="0" y="0"/>
                      <wp:positionH relativeFrom="column">
                        <wp:posOffset>488315</wp:posOffset>
                      </wp:positionH>
                      <wp:positionV relativeFrom="paragraph">
                        <wp:posOffset>37465</wp:posOffset>
                      </wp:positionV>
                      <wp:extent cx="971550" cy="0"/>
                      <wp:effectExtent l="9525" t="8890" r="952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19BD9"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95pt" to="11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" strokeweight="1pt"/>
                  </w:pict>
                </mc:Fallback>
              </mc:AlternateContent>
            </w:r>
            <w:r w:rsidR="003A35EA" w:rsidRPr="009620E0">
              <w:rPr>
                <w:sz w:val="26"/>
                <w:szCs w:val="26"/>
              </w:rPr>
              <w:t xml:space="preserve">     </w:t>
            </w:r>
          </w:p>
          <w:p w14:paraId="5B20AA4D" w14:textId="268BF4C3" w:rsidR="003A35EA" w:rsidRPr="009620E0" w:rsidRDefault="003A35EA" w:rsidP="00AE4A21">
            <w:pPr>
              <w:ind w:left="14" w:right="-14"/>
              <w:jc w:val="center"/>
            </w:pPr>
            <w:r w:rsidRPr="009620E0">
              <w:t>Số</w:t>
            </w:r>
            <w:r w:rsidR="00F6165C" w:rsidRPr="009620E0">
              <w:t>:</w:t>
            </w:r>
            <w:r w:rsidR="00142D28" w:rsidRPr="009620E0">
              <w:t xml:space="preserve"> </w:t>
            </w:r>
            <w:r w:rsidR="00FD3DD4">
              <w:t>37</w:t>
            </w:r>
            <w:r w:rsidR="009241D2" w:rsidRPr="009620E0">
              <w:t>/</w:t>
            </w:r>
            <w:r w:rsidRPr="009620E0">
              <w:t>BC-TCTK</w:t>
            </w:r>
          </w:p>
        </w:tc>
        <w:tc>
          <w:tcPr>
            <w:tcW w:w="6300" w:type="dxa"/>
          </w:tcPr>
          <w:p w14:paraId="0F3220A5" w14:textId="77777777" w:rsidR="003A35EA" w:rsidRPr="009620E0" w:rsidRDefault="003A35EA" w:rsidP="00376242">
            <w:pPr>
              <w:ind w:left="72"/>
              <w:jc w:val="center"/>
              <w:rPr>
                <w:b/>
                <w:bCs/>
                <w:sz w:val="26"/>
                <w:szCs w:val="26"/>
              </w:rPr>
            </w:pPr>
            <w:r w:rsidRPr="009620E0">
              <w:rPr>
                <w:b/>
                <w:bCs/>
                <w:sz w:val="26"/>
                <w:szCs w:val="26"/>
              </w:rPr>
              <w:t>CỘNG H</w:t>
            </w:r>
            <w:r w:rsidR="00117119" w:rsidRPr="009620E0">
              <w:rPr>
                <w:b/>
                <w:bCs/>
                <w:sz w:val="26"/>
                <w:szCs w:val="26"/>
              </w:rPr>
              <w:t>ÒA</w:t>
            </w:r>
            <w:r w:rsidRPr="009620E0">
              <w:rPr>
                <w:b/>
                <w:bCs/>
                <w:sz w:val="26"/>
                <w:szCs w:val="26"/>
              </w:rPr>
              <w:t xml:space="preserve"> XÃ HỘI CHỦ NGHĨA VIỆT NAM</w:t>
            </w:r>
          </w:p>
          <w:p w14:paraId="111B1729" w14:textId="77777777" w:rsidR="003A35EA" w:rsidRPr="009620E0" w:rsidRDefault="003A35EA" w:rsidP="00F359E0">
            <w:pPr>
              <w:spacing w:before="20"/>
              <w:ind w:left="72"/>
              <w:jc w:val="center"/>
              <w:rPr>
                <w:b/>
                <w:bCs/>
              </w:rPr>
            </w:pPr>
            <w:r w:rsidRPr="009620E0">
              <w:rPr>
                <w:b/>
                <w:bCs/>
              </w:rPr>
              <w:t>Độc lập</w:t>
            </w:r>
            <w:r w:rsidR="006A2E6D" w:rsidRPr="009620E0">
              <w:rPr>
                <w:b/>
                <w:bCs/>
              </w:rPr>
              <w:t xml:space="preserve"> </w:t>
            </w:r>
            <w:r w:rsidRPr="009620E0">
              <w:rPr>
                <w:b/>
                <w:bCs/>
              </w:rPr>
              <w:t>-</w:t>
            </w:r>
            <w:r w:rsidR="006A2E6D" w:rsidRPr="009620E0">
              <w:rPr>
                <w:b/>
                <w:bCs/>
              </w:rPr>
              <w:t xml:space="preserve"> </w:t>
            </w:r>
            <w:r w:rsidRPr="009620E0">
              <w:rPr>
                <w:b/>
                <w:bCs/>
              </w:rPr>
              <w:t>Tự do</w:t>
            </w:r>
            <w:r w:rsidR="006A2E6D" w:rsidRPr="009620E0">
              <w:rPr>
                <w:b/>
                <w:bCs/>
              </w:rPr>
              <w:t xml:space="preserve"> </w:t>
            </w:r>
            <w:r w:rsidRPr="009620E0">
              <w:rPr>
                <w:b/>
                <w:bCs/>
              </w:rPr>
              <w:t>-</w:t>
            </w:r>
            <w:r w:rsidR="006A2E6D" w:rsidRPr="009620E0">
              <w:rPr>
                <w:b/>
                <w:bCs/>
              </w:rPr>
              <w:t xml:space="preserve"> </w:t>
            </w:r>
            <w:r w:rsidRPr="009620E0">
              <w:rPr>
                <w:b/>
                <w:bCs/>
              </w:rPr>
              <w:t>Hạnh phúc</w:t>
            </w:r>
          </w:p>
          <w:p w14:paraId="575442BB" w14:textId="50EC0D59" w:rsidR="003A35EA" w:rsidRPr="009620E0" w:rsidRDefault="009F6E57" w:rsidP="00F359E0">
            <w:pPr>
              <w:spacing w:before="120"/>
              <w:ind w:left="72"/>
              <w:jc w:val="center"/>
              <w:rPr>
                <w:i/>
                <w:iCs/>
                <w:sz w:val="12"/>
                <w:szCs w:val="26"/>
              </w:rPr>
            </w:pPr>
            <w:r w:rsidRPr="009620E0">
              <w:rPr>
                <w:noProof/>
                <w:sz w:val="14"/>
              </w:rPr>
              <mc:AlternateContent>
                <mc:Choice Requires="wps">
                  <w:drawing>
                    <wp:anchor distT="0" distB="0" distL="114300" distR="114300" simplePos="0" relativeHeight="251655680" behindDoc="0" locked="0" layoutInCell="1" allowOverlap="1" wp14:anchorId="13B882C0" wp14:editId="735BC0C5">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3D658"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" strokeweight="1pt"/>
                  </w:pict>
                </mc:Fallback>
              </mc:AlternateContent>
            </w:r>
          </w:p>
          <w:p w14:paraId="5690DAAC" w14:textId="6E40F5E8" w:rsidR="003A35EA" w:rsidRPr="009620E0" w:rsidRDefault="003A35EA" w:rsidP="00AE4A21">
            <w:pPr>
              <w:ind w:left="72"/>
              <w:jc w:val="center"/>
              <w:rPr>
                <w:rFonts w:ascii=".VnTime" w:hAnsi=".VnTime" w:cs=".VnTime"/>
                <w:b/>
                <w:bCs/>
                <w:i/>
                <w:iCs/>
              </w:rPr>
            </w:pPr>
            <w:r w:rsidRPr="009620E0">
              <w:rPr>
                <w:i/>
                <w:iCs/>
              </w:rPr>
              <w:t>Hà Nội, ngày</w:t>
            </w:r>
            <w:r w:rsidR="0022663B" w:rsidRPr="009620E0">
              <w:rPr>
                <w:i/>
                <w:iCs/>
              </w:rPr>
              <w:t xml:space="preserve"> </w:t>
            </w:r>
            <w:r w:rsidR="0058047C" w:rsidRPr="009620E0">
              <w:rPr>
                <w:i/>
                <w:iCs/>
              </w:rPr>
              <w:t>2</w:t>
            </w:r>
            <w:r w:rsidR="00CC298C" w:rsidRPr="009620E0">
              <w:rPr>
                <w:i/>
                <w:iCs/>
              </w:rPr>
              <w:t>9</w:t>
            </w:r>
            <w:r w:rsidR="00237434" w:rsidRPr="009620E0">
              <w:rPr>
                <w:i/>
                <w:iCs/>
              </w:rPr>
              <w:t xml:space="preserve"> </w:t>
            </w:r>
            <w:r w:rsidRPr="009620E0">
              <w:rPr>
                <w:i/>
                <w:iCs/>
              </w:rPr>
              <w:t xml:space="preserve">tháng </w:t>
            </w:r>
            <w:r w:rsidR="002C3B32" w:rsidRPr="009620E0">
              <w:rPr>
                <w:i/>
                <w:iCs/>
              </w:rPr>
              <w:t>0</w:t>
            </w:r>
            <w:r w:rsidR="001D7D68" w:rsidRPr="009620E0">
              <w:rPr>
                <w:i/>
                <w:iCs/>
              </w:rPr>
              <w:t>2</w:t>
            </w:r>
            <w:r w:rsidRPr="009620E0">
              <w:rPr>
                <w:i/>
                <w:iCs/>
              </w:rPr>
              <w:t xml:space="preserve"> năm 20</w:t>
            </w:r>
            <w:r w:rsidR="002B0D6E" w:rsidRPr="009620E0">
              <w:rPr>
                <w:i/>
                <w:iCs/>
              </w:rPr>
              <w:t>2</w:t>
            </w:r>
            <w:r w:rsidR="00CC298C" w:rsidRPr="009620E0">
              <w:rPr>
                <w:i/>
                <w:iCs/>
              </w:rPr>
              <w:t>4</w:t>
            </w:r>
          </w:p>
        </w:tc>
      </w:tr>
    </w:tbl>
    <w:p w14:paraId="425DAE06" w14:textId="77777777" w:rsidR="003A35EA" w:rsidRPr="009620E0" w:rsidRDefault="003A35EA" w:rsidP="0016207C">
      <w:pPr>
        <w:spacing w:line="276" w:lineRule="auto"/>
        <w:jc w:val="center"/>
        <w:rPr>
          <w:rFonts w:ascii=".VnArialH" w:hAnsi=".VnArialH" w:cs=".VnArialH"/>
          <w:b/>
          <w:bCs/>
          <w:sz w:val="2"/>
          <w:szCs w:val="2"/>
        </w:rPr>
      </w:pPr>
    </w:p>
    <w:p w14:paraId="1EE9EEE7" w14:textId="77777777" w:rsidR="003A35EA" w:rsidRPr="009620E0" w:rsidRDefault="003A35EA" w:rsidP="0016207C">
      <w:pPr>
        <w:jc w:val="center"/>
        <w:rPr>
          <w:b/>
          <w:bCs/>
          <w:sz w:val="24"/>
          <w:szCs w:val="48"/>
        </w:rPr>
      </w:pPr>
    </w:p>
    <w:p w14:paraId="10C21C31" w14:textId="7C483D98" w:rsidR="00EE11BE" w:rsidRPr="009620E0" w:rsidRDefault="00EE11BE" w:rsidP="006A5EAC">
      <w:pPr>
        <w:jc w:val="center"/>
        <w:rPr>
          <w:b/>
          <w:bCs/>
          <w:sz w:val="40"/>
          <w:szCs w:val="40"/>
        </w:rPr>
      </w:pPr>
      <w:r w:rsidRPr="009620E0">
        <w:rPr>
          <w:b/>
          <w:bCs/>
          <w:sz w:val="40"/>
          <w:szCs w:val="40"/>
        </w:rPr>
        <w:t>BÁO CÁO</w:t>
      </w:r>
    </w:p>
    <w:p w14:paraId="01C02E70" w14:textId="0E7F4FF4" w:rsidR="003A35EA" w:rsidRPr="009620E0" w:rsidRDefault="003A35EA" w:rsidP="006A5EAC">
      <w:pPr>
        <w:jc w:val="center"/>
        <w:rPr>
          <w:b/>
          <w:bCs/>
          <w:sz w:val="34"/>
          <w:szCs w:val="34"/>
        </w:rPr>
      </w:pPr>
      <w:r w:rsidRPr="009620E0">
        <w:rPr>
          <w:b/>
          <w:bCs/>
          <w:sz w:val="34"/>
          <w:szCs w:val="34"/>
        </w:rPr>
        <w:t xml:space="preserve">TÌNH HÌNH KINH TẾ </w:t>
      </w:r>
      <w:r w:rsidRPr="009620E0">
        <w:rPr>
          <w:bCs/>
          <w:sz w:val="34"/>
          <w:szCs w:val="34"/>
        </w:rPr>
        <w:t>-</w:t>
      </w:r>
      <w:r w:rsidRPr="009620E0">
        <w:rPr>
          <w:b/>
          <w:bCs/>
          <w:sz w:val="34"/>
          <w:szCs w:val="34"/>
        </w:rPr>
        <w:t xml:space="preserve"> XÃ HỘI</w:t>
      </w:r>
      <w:r w:rsidR="007D03EE" w:rsidRPr="009620E0">
        <w:rPr>
          <w:b/>
          <w:bCs/>
          <w:sz w:val="34"/>
          <w:szCs w:val="34"/>
        </w:rPr>
        <w:t xml:space="preserve"> </w:t>
      </w:r>
      <w:r w:rsidR="007D03EE" w:rsidRPr="009620E0">
        <w:rPr>
          <w:b/>
          <w:bCs/>
          <w:sz w:val="34"/>
          <w:szCs w:val="34"/>
        </w:rPr>
        <w:br/>
      </w:r>
      <w:r w:rsidRPr="009620E0">
        <w:rPr>
          <w:b/>
          <w:bCs/>
          <w:sz w:val="34"/>
          <w:szCs w:val="34"/>
        </w:rPr>
        <w:t xml:space="preserve">THÁNG </w:t>
      </w:r>
      <w:r w:rsidR="007C547D" w:rsidRPr="009620E0">
        <w:rPr>
          <w:b/>
          <w:bCs/>
          <w:sz w:val="34"/>
          <w:szCs w:val="34"/>
        </w:rPr>
        <w:t>HAI</w:t>
      </w:r>
      <w:r w:rsidR="001D7D68" w:rsidRPr="009620E0">
        <w:rPr>
          <w:b/>
          <w:bCs/>
          <w:sz w:val="34"/>
          <w:szCs w:val="34"/>
        </w:rPr>
        <w:t xml:space="preserve"> VÀ 2 THÁNG ĐẦU </w:t>
      </w:r>
      <w:r w:rsidR="002B0D6E" w:rsidRPr="009620E0">
        <w:rPr>
          <w:b/>
          <w:bCs/>
          <w:sz w:val="34"/>
          <w:szCs w:val="34"/>
        </w:rPr>
        <w:t>NĂM 202</w:t>
      </w:r>
      <w:r w:rsidR="00CC298C" w:rsidRPr="009620E0">
        <w:rPr>
          <w:b/>
          <w:bCs/>
          <w:sz w:val="34"/>
          <w:szCs w:val="34"/>
        </w:rPr>
        <w:t>4</w:t>
      </w:r>
    </w:p>
    <w:p w14:paraId="44C23FBA" w14:textId="1EF6264B" w:rsidR="003A35EA" w:rsidRPr="009620E0" w:rsidRDefault="009F6E57" w:rsidP="0016207C">
      <w:pPr>
        <w:spacing w:before="20"/>
        <w:jc w:val="center"/>
        <w:rPr>
          <w:rFonts w:ascii="Arial" w:hAnsi="Arial" w:cs="Arial"/>
          <w:b/>
          <w:bCs/>
          <w:sz w:val="38"/>
          <w:szCs w:val="52"/>
        </w:rPr>
      </w:pPr>
      <w:r w:rsidRPr="009620E0">
        <w:rPr>
          <w:rFonts w:ascii="Arial" w:hAnsi="Arial" w:cs="Arial"/>
          <w:b/>
          <w:bCs/>
          <w:noProof/>
          <w:sz w:val="50"/>
          <w:szCs w:val="52"/>
        </w:rPr>
        <mc:AlternateContent>
          <mc:Choice Requires="wps">
            <w:drawing>
              <wp:anchor distT="0" distB="0" distL="114300" distR="114300" simplePos="0" relativeHeight="251657728" behindDoc="0" locked="0" layoutInCell="1" allowOverlap="1" wp14:anchorId="51B2983A" wp14:editId="4B86C3A9">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57B8D7"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"/>
            </w:pict>
          </mc:Fallback>
        </mc:AlternateContent>
      </w:r>
    </w:p>
    <w:p w14:paraId="6F7F1B6C" w14:textId="77777777" w:rsidR="00865420" w:rsidRPr="009620E0" w:rsidRDefault="00865420" w:rsidP="000708ED">
      <w:pPr>
        <w:spacing w:after="120" w:line="264" w:lineRule="auto"/>
        <w:ind w:firstLine="567"/>
        <w:jc w:val="both"/>
        <w:rPr>
          <w:b/>
          <w:bCs/>
        </w:rPr>
      </w:pPr>
      <w:r w:rsidRPr="009620E0">
        <w:rPr>
          <w:b/>
          <w:bCs/>
        </w:rPr>
        <w:t>1. Sản xuất nông, lâm nghiệp và thủy sản</w:t>
      </w:r>
    </w:p>
    <w:p w14:paraId="7A4C0015" w14:textId="71299887" w:rsidR="00865420" w:rsidRPr="009620E0" w:rsidRDefault="00865420" w:rsidP="000708ED">
      <w:pPr>
        <w:tabs>
          <w:tab w:val="left" w:pos="360"/>
          <w:tab w:val="left" w:pos="1134"/>
        </w:tabs>
        <w:spacing w:after="120" w:line="264" w:lineRule="auto"/>
        <w:ind w:firstLine="567"/>
        <w:jc w:val="both"/>
        <w:rPr>
          <w:i/>
          <w:lang w:val="sv-SE"/>
        </w:rPr>
      </w:pPr>
      <w:r w:rsidRPr="009620E0">
        <w:rPr>
          <w:bCs/>
          <w:i/>
        </w:rPr>
        <w:t xml:space="preserve">Sản xuất nông nghiệp trong tháng Hai </w:t>
      </w:r>
      <w:r w:rsidRPr="009620E0">
        <w:rPr>
          <w:i/>
        </w:rPr>
        <w:t>tập trung vào gieo cấy, chăm sóc lúa và rau màu vụ đông xuân trên cả nước</w:t>
      </w:r>
      <w:r w:rsidRPr="009620E0">
        <w:rPr>
          <w:i/>
          <w:iCs/>
        </w:rPr>
        <w:t xml:space="preserve">. Chăn nuôi lợn và gia cầm phát triển ổn định. </w:t>
      </w:r>
      <w:r w:rsidRPr="009620E0">
        <w:rPr>
          <w:i/>
          <w:iCs/>
          <w:lang w:val="sv-SE"/>
        </w:rPr>
        <w:t xml:space="preserve">Sản xuất lâm nghiệp tập trung thực hiện trồng rừng theo kế hoạch, thu hoạch gỗ đến tuổi khai thác; chăm sóc, bảo vệ và </w:t>
      </w:r>
      <w:r w:rsidR="00997446" w:rsidRPr="009620E0">
        <w:rPr>
          <w:i/>
          <w:iCs/>
          <w:lang w:val="sv-SE"/>
        </w:rPr>
        <w:t xml:space="preserve">phòng </w:t>
      </w:r>
      <w:r w:rsidRPr="009620E0">
        <w:rPr>
          <w:i/>
          <w:iCs/>
          <w:lang w:val="sv-SE"/>
        </w:rPr>
        <w:t>chống cháy rừng.</w:t>
      </w:r>
      <w:r w:rsidRPr="009620E0">
        <w:rPr>
          <w:i/>
          <w:lang w:val="sv-SE"/>
        </w:rPr>
        <w:t xml:space="preserve"> Sản lượng các sản phẩm thủy sản trọng điểm tiếp tục tăng để đáp ứng nhu cầu của thị trường tiêu thụ trong nước và xuất khẩu</w:t>
      </w:r>
      <w:r w:rsidRPr="009620E0">
        <w:rPr>
          <w:i/>
          <w:iCs/>
          <w:lang w:val="sv-SE"/>
        </w:rPr>
        <w:t>.</w:t>
      </w:r>
    </w:p>
    <w:p w14:paraId="50AC1D97" w14:textId="77777777" w:rsidR="00865420" w:rsidRPr="009620E0" w:rsidRDefault="00865420" w:rsidP="000708ED">
      <w:pPr>
        <w:pStyle w:val="ListParagraph"/>
        <w:spacing w:after="120" w:line="264" w:lineRule="auto"/>
        <w:ind w:left="0" w:firstLine="567"/>
        <w:contextualSpacing w:val="0"/>
        <w:jc w:val="both"/>
        <w:rPr>
          <w:b/>
          <w:bCs/>
          <w:i/>
          <w:iCs/>
          <w:lang w:val="sv-SE"/>
        </w:rPr>
      </w:pPr>
      <w:r w:rsidRPr="009620E0">
        <w:rPr>
          <w:b/>
          <w:bCs/>
          <w:i/>
          <w:iCs/>
          <w:lang w:val="sv-SE"/>
        </w:rPr>
        <w:t xml:space="preserve">a) Nông nghiệp </w:t>
      </w:r>
    </w:p>
    <w:p w14:paraId="75F7FC59" w14:textId="77777777" w:rsidR="00865420" w:rsidRPr="009620E0" w:rsidRDefault="00865420" w:rsidP="000708ED">
      <w:pPr>
        <w:spacing w:after="120" w:line="264" w:lineRule="auto"/>
        <w:ind w:firstLine="567"/>
        <w:jc w:val="both"/>
        <w:rPr>
          <w:iCs/>
          <w:spacing w:val="4"/>
          <w:lang w:val="sv-SE"/>
        </w:rPr>
      </w:pPr>
      <w:r w:rsidRPr="009620E0">
        <w:rPr>
          <w:spacing w:val="4"/>
          <w:lang w:val="pl-PL"/>
        </w:rPr>
        <w:t xml:space="preserve">Tính đến trung tuần tháng Hai, </w:t>
      </w:r>
      <w:r w:rsidRPr="009620E0">
        <w:rPr>
          <w:iCs/>
          <w:spacing w:val="4"/>
          <w:lang w:val="sv-SE"/>
        </w:rPr>
        <w:t xml:space="preserve">cả nước gieo cấy được 2.557,4 nghìn ha lúa đông xuân, bằng 94,8% cùng kỳ năm trước. Trong đó, các địa phương phía Bắc đạt 680,9 nghìn ha, bằng 82,6%; các địa phương phía Nam đạt 1.876,5 nghìn ha, bằng 100,2%, riêng </w:t>
      </w:r>
      <w:r w:rsidRPr="009620E0">
        <w:rPr>
          <w:iCs/>
          <w:spacing w:val="4"/>
          <w:lang w:val="nl-NL"/>
        </w:rPr>
        <w:t>vùng Đ</w:t>
      </w:r>
      <w:r w:rsidRPr="009620E0">
        <w:rPr>
          <w:iCs/>
          <w:spacing w:val="4"/>
          <w:lang w:val="pt-BR"/>
        </w:rPr>
        <w:t xml:space="preserve">ồng bằng sông Cửu Long đạt 1.481,7 nghìn ha, bằng </w:t>
      </w:r>
      <w:r w:rsidRPr="009620E0">
        <w:rPr>
          <w:iCs/>
          <w:spacing w:val="4"/>
          <w:lang w:val="vi-VN"/>
        </w:rPr>
        <w:t xml:space="preserve"> </w:t>
      </w:r>
      <w:r w:rsidRPr="009620E0">
        <w:rPr>
          <w:iCs/>
          <w:spacing w:val="4"/>
        </w:rPr>
        <w:t>100</w:t>
      </w:r>
      <w:r w:rsidRPr="009620E0">
        <w:rPr>
          <w:iCs/>
          <w:spacing w:val="4"/>
          <w:lang w:val="vi-VN"/>
        </w:rPr>
        <w:t>,</w:t>
      </w:r>
      <w:r w:rsidRPr="009620E0">
        <w:rPr>
          <w:iCs/>
          <w:spacing w:val="4"/>
        </w:rPr>
        <w:t>5</w:t>
      </w:r>
      <w:r w:rsidRPr="009620E0">
        <w:rPr>
          <w:iCs/>
          <w:spacing w:val="4"/>
          <w:lang w:val="pt-BR"/>
        </w:rPr>
        <w:t>%.</w:t>
      </w:r>
    </w:p>
    <w:p w14:paraId="4598E203" w14:textId="61D9A42C" w:rsidR="00865420" w:rsidRPr="009620E0" w:rsidRDefault="00865420" w:rsidP="000708ED">
      <w:pPr>
        <w:spacing w:after="120" w:line="264" w:lineRule="auto"/>
        <w:ind w:firstLine="567"/>
        <w:jc w:val="both"/>
        <w:rPr>
          <w:iCs/>
          <w:lang w:val="nl-NL"/>
        </w:rPr>
      </w:pPr>
      <w:r w:rsidRPr="009620E0">
        <w:rPr>
          <w:iCs/>
          <w:lang w:val="nl-NL"/>
        </w:rPr>
        <w:t>Tại các địa phương phía Bắc, tiến độ gieo cấy lúa đông xuân chậm hơn cùng kỳ năm trước do T</w:t>
      </w:r>
      <w:r w:rsidRPr="009620E0">
        <w:rPr>
          <w:lang w:val="pt-BR"/>
        </w:rPr>
        <w:t>ết Nguyên đán Giáp Thìn vào đúng thời vụ gieo cấy</w:t>
      </w:r>
      <w:r w:rsidRPr="009620E0">
        <w:rPr>
          <w:iCs/>
          <w:lang w:val="nl-NL"/>
        </w:rPr>
        <w:t>. Một số địa phương có tiến độ chậm hơn như: Nam Định đạt 7,2 nghìn ha, bằng</w:t>
      </w:r>
      <w:r w:rsidRPr="009620E0">
        <w:rPr>
          <w:iCs/>
          <w:lang w:val="vi-VN"/>
        </w:rPr>
        <w:t xml:space="preserve"> </w:t>
      </w:r>
      <w:r w:rsidRPr="009620E0">
        <w:rPr>
          <w:iCs/>
          <w:lang w:val="pt-BR"/>
        </w:rPr>
        <w:t>11,7</w:t>
      </w:r>
      <w:r w:rsidRPr="009620E0">
        <w:rPr>
          <w:iCs/>
          <w:lang w:val="nl-NL"/>
        </w:rPr>
        <w:t xml:space="preserve">% cùng kỳ năm trước; Hà Nội </w:t>
      </w:r>
      <w:r w:rsidR="00997446" w:rsidRPr="009620E0">
        <w:rPr>
          <w:iCs/>
          <w:lang w:val="nl-NL"/>
        </w:rPr>
        <w:t xml:space="preserve">đạt </w:t>
      </w:r>
      <w:r w:rsidRPr="009620E0">
        <w:rPr>
          <w:iCs/>
          <w:lang w:val="nl-NL"/>
        </w:rPr>
        <w:t>20,4 nghìn ha, bằng</w:t>
      </w:r>
      <w:r w:rsidRPr="009620E0">
        <w:rPr>
          <w:iCs/>
          <w:lang w:val="vi-VN"/>
        </w:rPr>
        <w:t xml:space="preserve"> </w:t>
      </w:r>
      <w:r w:rsidRPr="009620E0">
        <w:rPr>
          <w:iCs/>
        </w:rPr>
        <w:t>4</w:t>
      </w:r>
      <w:r w:rsidRPr="009620E0">
        <w:rPr>
          <w:iCs/>
          <w:lang w:val="nl-NL"/>
        </w:rPr>
        <w:t>3</w:t>
      </w:r>
      <w:r w:rsidR="00532515" w:rsidRPr="009620E0">
        <w:rPr>
          <w:iCs/>
          <w:lang w:val="nl-NL"/>
        </w:rPr>
        <w:t>,0</w:t>
      </w:r>
      <w:r w:rsidRPr="009620E0">
        <w:rPr>
          <w:iCs/>
          <w:lang w:val="nl-NL"/>
        </w:rPr>
        <w:t>%; Hải Phòng đạt 11,3 nghìn ha, bằng</w:t>
      </w:r>
      <w:r w:rsidRPr="009620E0">
        <w:rPr>
          <w:iCs/>
          <w:lang w:val="vi-VN"/>
        </w:rPr>
        <w:t xml:space="preserve"> </w:t>
      </w:r>
      <w:r w:rsidRPr="009620E0">
        <w:rPr>
          <w:iCs/>
          <w:lang w:val="nl-NL"/>
        </w:rPr>
        <w:t>62,5%; Thái Bình đạt 40,4 nghìn ha, bằng</w:t>
      </w:r>
      <w:r w:rsidRPr="009620E0">
        <w:rPr>
          <w:iCs/>
          <w:lang w:val="vi-VN"/>
        </w:rPr>
        <w:t xml:space="preserve"> </w:t>
      </w:r>
      <w:r w:rsidRPr="009620E0">
        <w:rPr>
          <w:iCs/>
          <w:lang w:val="nl-NL"/>
        </w:rPr>
        <w:t xml:space="preserve">77,4%. </w:t>
      </w:r>
    </w:p>
    <w:p w14:paraId="15235459" w14:textId="3E208BEF" w:rsidR="00865420" w:rsidRPr="009620E0" w:rsidRDefault="00865420" w:rsidP="000708ED">
      <w:pPr>
        <w:spacing w:after="120" w:line="264" w:lineRule="auto"/>
        <w:ind w:firstLine="567"/>
        <w:jc w:val="both"/>
        <w:rPr>
          <w:iCs/>
          <w:lang w:val="pl-PL"/>
        </w:rPr>
      </w:pPr>
      <w:r w:rsidRPr="009620E0">
        <w:rPr>
          <w:lang w:val="pl-PL"/>
        </w:rPr>
        <w:t xml:space="preserve">Các địa phương phía Nam đến nay </w:t>
      </w:r>
      <w:r w:rsidRPr="009620E0">
        <w:rPr>
          <w:bCs/>
          <w:iCs/>
          <w:lang w:val="vi-VN"/>
        </w:rPr>
        <w:t xml:space="preserve">cơ bản hoàn thành gieo cấy lúa </w:t>
      </w:r>
      <w:r w:rsidRPr="009620E0">
        <w:rPr>
          <w:bCs/>
          <w:iCs/>
          <w:lang w:val="nl-NL"/>
        </w:rPr>
        <w:t>đ</w:t>
      </w:r>
      <w:r w:rsidRPr="009620E0">
        <w:rPr>
          <w:bCs/>
          <w:iCs/>
          <w:lang w:val="vi-VN"/>
        </w:rPr>
        <w:t>ông xuân</w:t>
      </w:r>
      <w:r w:rsidRPr="009620E0">
        <w:rPr>
          <w:bCs/>
          <w:iCs/>
          <w:lang w:val="nl-NL"/>
        </w:rPr>
        <w:t xml:space="preserve"> và bắt đầu thu hoạch ở một số trà lúa sớm.</w:t>
      </w:r>
      <w:r w:rsidRPr="009620E0">
        <w:rPr>
          <w:bCs/>
          <w:iCs/>
          <w:lang w:val="vi-VN"/>
        </w:rPr>
        <w:t xml:space="preserve"> </w:t>
      </w:r>
      <w:r w:rsidRPr="009620E0">
        <w:rPr>
          <w:iCs/>
          <w:lang w:val="nl-NL"/>
        </w:rPr>
        <w:t>Một số địa phương có diện tích gieo cấy đạt khá so với cùng kỳ năm trước: Sóc Trăng đạt 180,7 nghìn ha, bằng 106,1%; Bạc Liêu đạt 45 nghìn ha, bằng 104,1%; Long An đạt 231,4 nghìn ha, bằng 102,8%.</w:t>
      </w:r>
      <w:r w:rsidRPr="009620E0">
        <w:rPr>
          <w:bCs/>
          <w:iCs/>
          <w:lang w:val="nl-NL"/>
        </w:rPr>
        <w:t xml:space="preserve"> </w:t>
      </w:r>
      <w:r w:rsidRPr="009620E0">
        <w:rPr>
          <w:iCs/>
          <w:lang w:val="nl-NL"/>
        </w:rPr>
        <w:t xml:space="preserve">Nhìn chung lúa đông xuân phát triển khá tốt, những trà lúa chính vụ đang trong giai đoạn đẻ nhánh, làm đòng, ngậm sữa. </w:t>
      </w:r>
      <w:r w:rsidRPr="009620E0">
        <w:rPr>
          <w:lang w:val="pl-PL"/>
        </w:rPr>
        <w:t xml:space="preserve">Trong đó, vùng Đồng bằng sông Cửu Long thu hoạch </w:t>
      </w:r>
      <w:r w:rsidRPr="009620E0">
        <w:rPr>
          <w:iCs/>
          <w:lang w:val="nl-NL"/>
        </w:rPr>
        <w:t xml:space="preserve">240,3 </w:t>
      </w:r>
      <w:r w:rsidRPr="009620E0">
        <w:rPr>
          <w:lang w:val="pl-PL"/>
        </w:rPr>
        <w:t xml:space="preserve">nghìn ha, </w:t>
      </w:r>
      <w:r w:rsidRPr="009620E0">
        <w:rPr>
          <w:iCs/>
          <w:lang w:val="nl-NL"/>
        </w:rPr>
        <w:t>chiếm 16,2% diện tích gieo cấy và bằng 85,6% so với cùng kỳ năm trước</w:t>
      </w:r>
      <w:r w:rsidRPr="009620E0">
        <w:rPr>
          <w:lang w:val="pl-PL"/>
        </w:rPr>
        <w:t xml:space="preserve">. </w:t>
      </w:r>
    </w:p>
    <w:p w14:paraId="0767AA36" w14:textId="77777777" w:rsidR="00865420" w:rsidRPr="009620E0" w:rsidRDefault="00865420" w:rsidP="000708ED">
      <w:pPr>
        <w:spacing w:after="120" w:line="264" w:lineRule="auto"/>
        <w:ind w:firstLine="567"/>
        <w:jc w:val="both"/>
        <w:rPr>
          <w:lang w:val="pl-PL"/>
        </w:rPr>
      </w:pPr>
      <w:r w:rsidRPr="009620E0">
        <w:rPr>
          <w:iCs/>
          <w:lang w:val="pl-PL"/>
        </w:rPr>
        <w:t xml:space="preserve">Cùng với việc gieo cấy lúa đông xuân, </w:t>
      </w:r>
      <w:r w:rsidRPr="009620E0">
        <w:rPr>
          <w:lang w:val="pl-PL"/>
        </w:rPr>
        <w:t>các địa phương trên cả nước đang tiến hành gieo trồng cây hoa màu. Diện tích một số cây trồng giảm so với cùng kỳ năm trước chủ yếu do hiệu quả kinh tế không cao và gặp khó khăn trong khâu tiêu thụ sản phẩm</w:t>
      </w:r>
      <w:r w:rsidRPr="009620E0">
        <w:rPr>
          <w:iCs/>
          <w:lang w:val="pl-PL"/>
        </w:rPr>
        <w:t>.</w:t>
      </w:r>
      <w:r w:rsidRPr="009620E0">
        <w:rPr>
          <w:lang w:val="pl-PL"/>
        </w:rPr>
        <w:t xml:space="preserve"> </w:t>
      </w:r>
    </w:p>
    <w:p w14:paraId="2EF97EDC" w14:textId="77777777" w:rsidR="00865420" w:rsidRPr="009620E0" w:rsidRDefault="00865420" w:rsidP="00865420">
      <w:pPr>
        <w:spacing w:before="40" w:after="40" w:line="268" w:lineRule="auto"/>
        <w:jc w:val="center"/>
        <w:rPr>
          <w:rFonts w:ascii="Arial" w:hAnsi="Arial" w:cs="Arial"/>
          <w:b/>
          <w:sz w:val="24"/>
          <w:szCs w:val="24"/>
          <w:lang w:val="de-DE"/>
        </w:rPr>
      </w:pPr>
      <w:r w:rsidRPr="009620E0">
        <w:rPr>
          <w:rFonts w:ascii="Arial" w:hAnsi="Arial" w:cs="Arial"/>
          <w:b/>
          <w:sz w:val="24"/>
          <w:szCs w:val="24"/>
          <w:lang w:val="de-DE"/>
        </w:rPr>
        <w:lastRenderedPageBreak/>
        <w:t>Hình 1. Gieo trồng một số cây hàng năm</w:t>
      </w:r>
    </w:p>
    <w:p w14:paraId="34847BF7" w14:textId="77777777" w:rsidR="00865420" w:rsidRPr="009620E0" w:rsidRDefault="00865420" w:rsidP="00865420">
      <w:pPr>
        <w:spacing w:before="40" w:after="40" w:line="268" w:lineRule="auto"/>
        <w:jc w:val="center"/>
        <w:rPr>
          <w:lang w:val="pl-PL"/>
        </w:rPr>
      </w:pPr>
      <w:r w:rsidRPr="009620E0">
        <w:rPr>
          <w:rFonts w:ascii="Arial" w:hAnsi="Arial" w:cs="Arial"/>
          <w:sz w:val="24"/>
          <w:szCs w:val="24"/>
          <w:lang w:val="de-DE"/>
        </w:rPr>
        <w:t>(Tính đến 15/02/2024)</w:t>
      </w:r>
    </w:p>
    <w:p w14:paraId="5994757E" w14:textId="54BE86F2" w:rsidR="00865420" w:rsidRPr="009620E0" w:rsidRDefault="00865420" w:rsidP="00865420">
      <w:pPr>
        <w:spacing w:before="40" w:after="40" w:line="264" w:lineRule="auto"/>
        <w:rPr>
          <w:spacing w:val="-2"/>
          <w:lang w:val="pl-PL"/>
        </w:rPr>
      </w:pPr>
      <w:r w:rsidRPr="009620E0">
        <w:rPr>
          <w:noProof/>
        </w:rPr>
        <w:drawing>
          <wp:inline distT="0" distB="0" distL="0" distR="0" wp14:anchorId="6BD7C1AE" wp14:editId="45F22ED5">
            <wp:extent cx="5699451" cy="1898072"/>
            <wp:effectExtent l="0" t="0" r="0" b="698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0641" cy="1901798"/>
                    </a:xfrm>
                    <a:prstGeom prst="rect">
                      <a:avLst/>
                    </a:prstGeom>
                    <a:noFill/>
                    <a:ln>
                      <a:noFill/>
                    </a:ln>
                  </pic:spPr>
                </pic:pic>
              </a:graphicData>
            </a:graphic>
          </wp:inline>
        </w:drawing>
      </w:r>
    </w:p>
    <w:p w14:paraId="2F6C368B" w14:textId="77777777" w:rsidR="00865420" w:rsidRPr="009620E0" w:rsidRDefault="00865420" w:rsidP="000708ED">
      <w:pPr>
        <w:spacing w:before="40" w:after="40" w:line="264" w:lineRule="auto"/>
        <w:ind w:firstLine="567"/>
        <w:jc w:val="both"/>
        <w:rPr>
          <w:bCs/>
          <w:lang w:val="pl-PL"/>
        </w:rPr>
      </w:pPr>
      <w:r w:rsidRPr="009620E0">
        <w:rPr>
          <w:shd w:val="clear" w:color="auto" w:fill="FFFFFF"/>
        </w:rPr>
        <w:t xml:space="preserve">Chăn nuôi lợn và gia cầm phát triển tốt do thị trường tiêu thụ ổn định, người dân mở rộng quy mô đàn để đáp ứng nhu cầu thực phẩm của người dân. </w:t>
      </w:r>
      <w:r w:rsidRPr="009620E0">
        <w:t xml:space="preserve">Chăn nuôi trâu, bò </w:t>
      </w:r>
      <w:r w:rsidRPr="009620E0">
        <w:rPr>
          <w:shd w:val="clear" w:color="auto" w:fill="FFFFFF"/>
        </w:rPr>
        <w:t>có xu hướng giảm do hiệu quả kinh tế không cao và diện tích chăn thả tự nhiên bị thu hẹp, các cánh đồng lúa tăng vụ cũng ảnh hưởng đến quy mô đàn.</w:t>
      </w:r>
      <w:r w:rsidRPr="009620E0">
        <w:t xml:space="preserve"> </w:t>
      </w:r>
      <w:r w:rsidRPr="009620E0">
        <w:rPr>
          <w:spacing w:val="-2"/>
          <w:lang w:val="pl-PL"/>
        </w:rPr>
        <w:t xml:space="preserve">Trong những tháng đầu năm, thời tiết ở các địa phương phía Bắc dễ phát sinh </w:t>
      </w:r>
      <w:r w:rsidRPr="009620E0">
        <w:rPr>
          <w:spacing w:val="-2"/>
          <w:lang w:val="pt-BR"/>
        </w:rPr>
        <w:t>dịch bệnh cho gia súc, gia cầm, vì vậy người chăn nuôi cần tăng cường các biện pháp kiểm soát, phòng chống dịch bệnh và đảm bảo an toàn cho đàn vật nuôi</w:t>
      </w:r>
      <w:r w:rsidRPr="009620E0">
        <w:rPr>
          <w:spacing w:val="-2"/>
          <w:lang w:val="pl-PL"/>
        </w:rPr>
        <w:t xml:space="preserve">. </w:t>
      </w:r>
    </w:p>
    <w:p w14:paraId="65754F2E" w14:textId="77777777" w:rsidR="00865420" w:rsidRPr="009620E0" w:rsidRDefault="00865420" w:rsidP="00865420">
      <w:pPr>
        <w:spacing w:before="120"/>
        <w:jc w:val="center"/>
        <w:rPr>
          <w:rFonts w:ascii="Arial" w:hAnsi="Arial" w:cs="Arial"/>
          <w:b/>
          <w:sz w:val="24"/>
          <w:szCs w:val="24"/>
          <w:lang w:val="de-DE"/>
        </w:rPr>
      </w:pPr>
      <w:r w:rsidRPr="009620E0">
        <w:rPr>
          <w:rFonts w:ascii="Arial" w:hAnsi="Arial" w:cs="Arial"/>
          <w:b/>
          <w:sz w:val="24"/>
          <w:szCs w:val="24"/>
          <w:lang w:val="pl-PL"/>
        </w:rPr>
        <w:t xml:space="preserve">Hình 2. </w:t>
      </w:r>
      <w:r w:rsidRPr="009620E0">
        <w:rPr>
          <w:rFonts w:ascii="Arial" w:hAnsi="Arial" w:cs="Arial"/>
          <w:b/>
          <w:sz w:val="24"/>
          <w:szCs w:val="24"/>
          <w:lang w:val="de-DE"/>
        </w:rPr>
        <w:t>Tốc độ tăng/giảm số lượng gia súc, gia cầm</w:t>
      </w:r>
    </w:p>
    <w:p w14:paraId="606B8BFF" w14:textId="77777777" w:rsidR="00865420" w:rsidRPr="009620E0" w:rsidRDefault="00865420" w:rsidP="008F5C87">
      <w:pPr>
        <w:spacing w:after="120"/>
        <w:jc w:val="center"/>
        <w:rPr>
          <w:rFonts w:ascii="Arial" w:hAnsi="Arial" w:cs="Arial"/>
          <w:b/>
          <w:sz w:val="24"/>
          <w:szCs w:val="24"/>
          <w:lang w:val="de-DE"/>
        </w:rPr>
      </w:pPr>
      <w:r w:rsidRPr="009620E0">
        <w:rPr>
          <w:rFonts w:ascii="Arial" w:hAnsi="Arial" w:cs="Arial"/>
          <w:b/>
          <w:sz w:val="24"/>
          <w:szCs w:val="24"/>
          <w:lang w:val="de-DE"/>
        </w:rPr>
        <w:t>cuối tháng 02/2024 so với cùng thời điểm năm trước</w:t>
      </w:r>
    </w:p>
    <w:p w14:paraId="18E6B23F" w14:textId="657E55F7" w:rsidR="00865420" w:rsidRPr="009620E0" w:rsidRDefault="000317F3" w:rsidP="00865420">
      <w:pPr>
        <w:jc w:val="center"/>
        <w:rPr>
          <w:rFonts w:ascii="Arial" w:hAnsi="Arial" w:cs="Arial"/>
          <w:b/>
          <w:sz w:val="24"/>
          <w:szCs w:val="24"/>
          <w:lang w:val="de-DE"/>
        </w:rPr>
      </w:pPr>
      <w:r w:rsidRPr="009620E0">
        <w:rPr>
          <w:noProof/>
        </w:rPr>
        <w:drawing>
          <wp:inline distT="0" distB="0" distL="0" distR="0" wp14:anchorId="5FACE0BE" wp14:editId="3AA8809E">
            <wp:extent cx="5699760" cy="1516380"/>
            <wp:effectExtent l="0" t="0" r="0" b="7620"/>
            <wp:docPr id="6" name="Picture 6"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arison of animals and numb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760" cy="1516380"/>
                    </a:xfrm>
                    <a:prstGeom prst="rect">
                      <a:avLst/>
                    </a:prstGeom>
                    <a:noFill/>
                    <a:ln>
                      <a:noFill/>
                    </a:ln>
                  </pic:spPr>
                </pic:pic>
              </a:graphicData>
            </a:graphic>
          </wp:inline>
        </w:drawing>
      </w:r>
    </w:p>
    <w:p w14:paraId="30A6DCB1" w14:textId="77777777" w:rsidR="000317F3" w:rsidRPr="009620E0" w:rsidRDefault="000317F3" w:rsidP="008F5C87">
      <w:pPr>
        <w:widowControl w:val="0"/>
        <w:spacing w:before="120" w:after="120" w:line="264" w:lineRule="auto"/>
        <w:ind w:firstLine="567"/>
        <w:jc w:val="both"/>
        <w:rPr>
          <w:lang w:val="pt-BR"/>
        </w:rPr>
      </w:pPr>
      <w:r w:rsidRPr="009620E0">
        <w:rPr>
          <w:bCs/>
          <w:lang w:val="pt-BR"/>
        </w:rPr>
        <w:t xml:space="preserve">Tính đến ngày 23/02/2024, </w:t>
      </w:r>
      <w:r w:rsidRPr="009620E0">
        <w:rPr>
          <w:iCs/>
          <w:lang w:val="es-AR"/>
        </w:rPr>
        <w:t xml:space="preserve">cả nước không còn dịch tai xanh; </w:t>
      </w:r>
      <w:r w:rsidRPr="009620E0">
        <w:rPr>
          <w:bCs/>
          <w:lang w:val="pt-BR"/>
        </w:rPr>
        <w:t xml:space="preserve">dịch lở mồm long móng còn ở Quảng Ngãi; dịch cúm gia cầm còn ở Ninh Bình, Khánh Hòa, Long An; dịch viêm da nổi cục còn ở Hà Tĩnh, Quảng Ngãi và dịch tả lợn châu Phi còn ở 15 địa phương chưa qua 21 ngày. </w:t>
      </w:r>
    </w:p>
    <w:p w14:paraId="580FE283" w14:textId="77777777" w:rsidR="00865420" w:rsidRPr="009620E0" w:rsidRDefault="00865420" w:rsidP="000708ED">
      <w:pPr>
        <w:widowControl w:val="0"/>
        <w:spacing w:after="120" w:line="264" w:lineRule="auto"/>
        <w:ind w:firstLine="567"/>
        <w:jc w:val="both"/>
        <w:rPr>
          <w:b/>
          <w:i/>
          <w:lang w:val="sv-SE"/>
        </w:rPr>
      </w:pPr>
      <w:r w:rsidRPr="009620E0">
        <w:rPr>
          <w:b/>
          <w:i/>
          <w:lang w:val="sv-SE"/>
        </w:rPr>
        <w:t>b) Lâm nghiệp</w:t>
      </w:r>
    </w:p>
    <w:p w14:paraId="7471A589" w14:textId="292B9301" w:rsidR="00865420" w:rsidRPr="009620E0" w:rsidRDefault="00865420" w:rsidP="000708ED">
      <w:pPr>
        <w:spacing w:after="120" w:line="264" w:lineRule="auto"/>
        <w:ind w:firstLine="567"/>
        <w:jc w:val="both"/>
        <w:rPr>
          <w:iCs/>
          <w:lang w:val="pt-BR"/>
        </w:rPr>
      </w:pPr>
      <w:r w:rsidRPr="009620E0">
        <w:rPr>
          <w:shd w:val="clear" w:color="auto" w:fill="FFFFFF"/>
          <w:lang w:val="sv-SE"/>
        </w:rPr>
        <w:t xml:space="preserve">Diện tích rừng trồng mới tập trung cả nước tháng 02/2024 ước đạt 9,8 nghìn ha, giảm 9,5% so với cùng kỳ năm 2023 </w:t>
      </w:r>
      <w:r w:rsidRPr="009620E0">
        <w:rPr>
          <w:iCs/>
          <w:lang w:val="pt-BR"/>
        </w:rPr>
        <w:t xml:space="preserve">chủ yếu do tháng Hai năm nay </w:t>
      </w:r>
      <w:r w:rsidR="00D90056" w:rsidRPr="009620E0">
        <w:rPr>
          <w:iCs/>
          <w:lang w:val="pt-BR"/>
        </w:rPr>
        <w:t>trùng với</w:t>
      </w:r>
      <w:r w:rsidRPr="009620E0">
        <w:rPr>
          <w:iCs/>
          <w:lang w:val="pt-BR"/>
        </w:rPr>
        <w:t xml:space="preserve"> kỳ nghỉ Tết Nguyên đán nên một số địa phương có tiến độ trồng rừng không cao như: Quảng Ngãi bằng 90,8% cùng kỳ năm trước, Quảng Ninh bằng 87,6%, Phú Thọ bằng 83,5%, Quảng Trị bằng 58,6%, Lào Cai bằng 24,2% (do </w:t>
      </w:r>
      <w:r w:rsidR="00B515D8" w:rsidRPr="009620E0">
        <w:rPr>
          <w:iCs/>
          <w:lang w:val="pt-BR"/>
        </w:rPr>
        <w:t xml:space="preserve">diện tích thu hoạch thấp nên tỉnh </w:t>
      </w:r>
      <w:r w:rsidRPr="009620E0">
        <w:rPr>
          <w:iCs/>
          <w:lang w:val="pt-BR"/>
        </w:rPr>
        <w:t>chủ động giảm kế hoạch trồng rừng)</w:t>
      </w:r>
      <w:r w:rsidRPr="009620E0">
        <w:rPr>
          <w:shd w:val="clear" w:color="auto" w:fill="FFFFFF"/>
          <w:lang w:val="sv-SE"/>
        </w:rPr>
        <w:t xml:space="preserve">; số cây lâm nghiệp trồng phân tán đạt 9,1 triệu cây, giảm 0,7%; </w:t>
      </w:r>
      <w:r w:rsidRPr="009620E0">
        <w:rPr>
          <w:iCs/>
          <w:lang w:val="pt-BR"/>
        </w:rPr>
        <w:t>sản lượng gỗ khai thác đạt 1.039 nghìn m</w:t>
      </w:r>
      <w:r w:rsidRPr="009620E0">
        <w:rPr>
          <w:iCs/>
          <w:vertAlign w:val="superscript"/>
          <w:lang w:val="pt-BR"/>
        </w:rPr>
        <w:t>3</w:t>
      </w:r>
      <w:r w:rsidRPr="009620E0">
        <w:rPr>
          <w:iCs/>
          <w:lang w:val="pt-BR"/>
        </w:rPr>
        <w:t>, giảm 1,4%.</w:t>
      </w:r>
    </w:p>
    <w:p w14:paraId="46E872D4" w14:textId="1FB1424E" w:rsidR="00865420" w:rsidRPr="009620E0" w:rsidRDefault="00865420" w:rsidP="000E1182">
      <w:pPr>
        <w:spacing w:after="120" w:line="276" w:lineRule="auto"/>
        <w:ind w:firstLine="567"/>
        <w:jc w:val="both"/>
        <w:rPr>
          <w:iCs/>
          <w:lang w:val="pt-BR"/>
        </w:rPr>
      </w:pPr>
      <w:r w:rsidRPr="009620E0">
        <w:rPr>
          <w:iCs/>
          <w:lang w:val="pt-BR"/>
        </w:rPr>
        <w:lastRenderedPageBreak/>
        <w:t xml:space="preserve">Tính chung </w:t>
      </w:r>
      <w:r w:rsidR="007C547D" w:rsidRPr="009620E0">
        <w:rPr>
          <w:iCs/>
          <w:lang w:val="pt-BR"/>
        </w:rPr>
        <w:t>2</w:t>
      </w:r>
      <w:r w:rsidRPr="009620E0">
        <w:rPr>
          <w:iCs/>
          <w:lang w:val="pt-BR"/>
        </w:rPr>
        <w:t xml:space="preserve"> tháng đầu năm 2024, diện tích rừng trồng mới cả nước ước đạt 17,6 nghìn ha, giảm 7,3% so với cùng kỳ năm trước; số cây lâm nghiệp trồng phân tán đạt 13,1 triệu cây, giảm 1,1%; sản lượng gỗ khai thác đạt 2.065,5 nghìn m</w:t>
      </w:r>
      <w:r w:rsidRPr="009620E0">
        <w:rPr>
          <w:iCs/>
          <w:vertAlign w:val="superscript"/>
          <w:lang w:val="pt-BR"/>
        </w:rPr>
        <w:t>3</w:t>
      </w:r>
      <w:r w:rsidRPr="009620E0">
        <w:rPr>
          <w:iCs/>
          <w:lang w:val="pt-BR"/>
        </w:rPr>
        <w:t xml:space="preserve">, tăng 0,8%. </w:t>
      </w:r>
    </w:p>
    <w:p w14:paraId="5E8A04CF" w14:textId="6E4960E2" w:rsidR="00865420" w:rsidRPr="009620E0" w:rsidRDefault="00865420" w:rsidP="000E1182">
      <w:pPr>
        <w:tabs>
          <w:tab w:val="left" w:pos="360"/>
          <w:tab w:val="left" w:pos="1134"/>
        </w:tabs>
        <w:spacing w:after="120" w:line="276" w:lineRule="auto"/>
        <w:ind w:firstLine="567"/>
        <w:jc w:val="both"/>
        <w:rPr>
          <w:iCs/>
          <w:lang w:val="pt-BR"/>
        </w:rPr>
      </w:pPr>
      <w:r w:rsidRPr="009620E0">
        <w:rPr>
          <w:lang w:val="sv-SE"/>
        </w:rPr>
        <w:t>Diện tích rừng bị thiệt hại trong tháng 02/2024</w:t>
      </w:r>
      <w:r w:rsidRPr="009620E0">
        <w:rPr>
          <w:rStyle w:val="FootnoteReference"/>
        </w:rPr>
        <w:footnoteReference w:id="1"/>
      </w:r>
      <w:r w:rsidRPr="009620E0">
        <w:rPr>
          <w:lang w:val="sv-SE"/>
        </w:rPr>
        <w:t xml:space="preserve"> là 54,2 ha, tăng 3,4% so với cùng kỳ năm trước, trong đó: Diện tích rừng bị cháy là 0,4 ha, giảm 87,5%; diện tích rừng bị chặt, phá là 53,8 ha, tăng 9,8%. Tính chung </w:t>
      </w:r>
      <w:r w:rsidR="007C547D" w:rsidRPr="009620E0">
        <w:rPr>
          <w:lang w:val="sv-SE"/>
        </w:rPr>
        <w:t>2</w:t>
      </w:r>
      <w:r w:rsidRPr="009620E0">
        <w:rPr>
          <w:lang w:val="sv-SE"/>
        </w:rPr>
        <w:t xml:space="preserve"> tháng đầu năm 2024, diện tích rừng bị thiệt hại là </w:t>
      </w:r>
      <w:r w:rsidRPr="009620E0">
        <w:rPr>
          <w:iCs/>
          <w:lang w:val="pt-BR"/>
        </w:rPr>
        <w:t>88,6 ha, giảm 9,2% so với cùng kỳ năm trước, trong đó diện tích rừng bị cháy là 0,7 ha, giảm 87,9%; diện tích rừng bị chặt, phá là 87,9 ha, giảm 4,1%.</w:t>
      </w:r>
    </w:p>
    <w:p w14:paraId="6FE75236" w14:textId="77777777" w:rsidR="00865420" w:rsidRPr="009620E0" w:rsidRDefault="00865420" w:rsidP="000E1182">
      <w:pPr>
        <w:tabs>
          <w:tab w:val="left" w:pos="360"/>
          <w:tab w:val="left" w:pos="1134"/>
        </w:tabs>
        <w:spacing w:after="120" w:line="276" w:lineRule="auto"/>
        <w:ind w:firstLine="567"/>
        <w:jc w:val="both"/>
        <w:rPr>
          <w:b/>
          <w:i/>
          <w:lang w:val="sv-SE"/>
        </w:rPr>
      </w:pPr>
      <w:r w:rsidRPr="009620E0">
        <w:rPr>
          <w:b/>
          <w:i/>
          <w:lang w:val="sv-SE"/>
        </w:rPr>
        <w:t>c) Thủy sản</w:t>
      </w:r>
    </w:p>
    <w:p w14:paraId="4F43FA33" w14:textId="77777777" w:rsidR="00B515D8" w:rsidRPr="009620E0" w:rsidRDefault="00B515D8" w:rsidP="000E1182">
      <w:pPr>
        <w:tabs>
          <w:tab w:val="left" w:pos="360"/>
          <w:tab w:val="left" w:pos="1134"/>
        </w:tabs>
        <w:spacing w:after="120" w:line="276" w:lineRule="auto"/>
        <w:ind w:firstLine="567"/>
        <w:jc w:val="both"/>
        <w:rPr>
          <w:i/>
          <w:lang w:val="sv-SE"/>
        </w:rPr>
      </w:pPr>
      <w:r w:rsidRPr="009620E0">
        <w:rPr>
          <w:lang w:val="de-DE"/>
        </w:rPr>
        <w:t>Sản lượng thủy sản tháng 02/2024 ước đạt 621 nghìn tấn, tăng 0,2% so với cùng kỳ năm trước, bao gồm: Cá đạt 455,9 nghìn tấn, giảm 0,3%; tôm đạt 64,8 nghìn tấn, tăng 4,1%; thủy sản khác đạt 100,3 nghìn tấn, tăng 0,4%.</w:t>
      </w:r>
    </w:p>
    <w:p w14:paraId="64329500" w14:textId="5C211186" w:rsidR="00865420" w:rsidRPr="009620E0" w:rsidRDefault="00865420" w:rsidP="000E1182">
      <w:pPr>
        <w:spacing w:after="120" w:line="276" w:lineRule="auto"/>
        <w:ind w:firstLine="567"/>
        <w:jc w:val="both"/>
        <w:rPr>
          <w:lang w:val="de-DE"/>
        </w:rPr>
      </w:pPr>
      <w:r w:rsidRPr="009620E0">
        <w:rPr>
          <w:iCs/>
          <w:lang w:val="sv-SE"/>
        </w:rPr>
        <w:t>Sản lượng thủy sản nuôi trồng</w:t>
      </w:r>
      <w:r w:rsidRPr="009620E0">
        <w:rPr>
          <w:lang w:val="sv-SE"/>
        </w:rPr>
        <w:t xml:space="preserve"> trong tháng </w:t>
      </w:r>
      <w:r w:rsidRPr="009620E0">
        <w:rPr>
          <w:lang w:val="de-DE"/>
        </w:rPr>
        <w:t xml:space="preserve">ước đạt 346,4 nghìn tấn, tăng 4,3% so với cùng kỳ năm trước, trong đó: Cá đạt 246,3 nghìn tấn, tăng 3,8%; tôm đạt 54,8 nghìn tấn, tăng 6,2%. </w:t>
      </w:r>
    </w:p>
    <w:p w14:paraId="038B1871" w14:textId="77777777" w:rsidR="00865420" w:rsidRPr="009620E0" w:rsidRDefault="00865420" w:rsidP="000E1182">
      <w:pPr>
        <w:spacing w:after="120" w:line="276" w:lineRule="auto"/>
        <w:ind w:firstLine="567"/>
        <w:jc w:val="both"/>
        <w:rPr>
          <w:lang w:val="de-DE"/>
        </w:rPr>
      </w:pPr>
      <w:r w:rsidRPr="009620E0">
        <w:rPr>
          <w:lang w:val="de-DE"/>
        </w:rPr>
        <w:t>Sản lượng thu hoạch cá tra trong tháng tiếp tục tăng khá so với cùng kỳ năm trước do giá cá tra nguyên liệu duy trì ở mức khá</w:t>
      </w:r>
      <w:r w:rsidRPr="009620E0">
        <w:rPr>
          <w:rStyle w:val="FootnoteReference"/>
          <w:lang w:val="de-DE"/>
        </w:rPr>
        <w:footnoteReference w:id="2"/>
      </w:r>
      <w:r w:rsidRPr="009620E0">
        <w:rPr>
          <w:lang w:val="de-DE"/>
        </w:rPr>
        <w:t>. Sản lượng cá tra trong tháng ước đạt 116,4 nghìn tấn, tăng 2,5% so với cùng kỳ năm trước.</w:t>
      </w:r>
    </w:p>
    <w:p w14:paraId="0A3548B2" w14:textId="77777777" w:rsidR="00865420" w:rsidRPr="009620E0" w:rsidRDefault="00865420" w:rsidP="000E1182">
      <w:pPr>
        <w:spacing w:after="120" w:line="276" w:lineRule="auto"/>
        <w:ind w:firstLine="567"/>
        <w:jc w:val="both"/>
        <w:rPr>
          <w:lang w:val="de-DE"/>
        </w:rPr>
      </w:pPr>
      <w:r w:rsidRPr="009620E0">
        <w:rPr>
          <w:lang w:val="de-DE"/>
        </w:rPr>
        <w:t xml:space="preserve">Sản lượng tôm tăng khá </w:t>
      </w:r>
      <w:r w:rsidRPr="009620E0">
        <w:rPr>
          <w:lang w:val="pt-BR"/>
        </w:rPr>
        <w:t>do người nuôi chủ động thu hoạch để đáp ứng nhu cầu tăng cao vào dịp Tết Nguyên đán</w:t>
      </w:r>
      <w:r w:rsidRPr="009620E0">
        <w:rPr>
          <w:lang w:val="de-DE"/>
        </w:rPr>
        <w:t xml:space="preserve">. </w:t>
      </w:r>
      <w:r w:rsidRPr="009620E0">
        <w:rPr>
          <w:bCs/>
          <w:lang w:val="pt-BR"/>
        </w:rPr>
        <w:t xml:space="preserve">Sản lượng tôm thẻ chân trắng tháng 02/2024 ước đạt 33,9 nghìn tấn, tăng 8,1% so với cùng kỳ năm trước; sản lượng tôm sú đạt 16,2 nghìn tấn, tăng 2,9%. </w:t>
      </w:r>
    </w:p>
    <w:p w14:paraId="39329D7F" w14:textId="77777777" w:rsidR="00865420" w:rsidRPr="009620E0" w:rsidRDefault="00865420" w:rsidP="000E1182">
      <w:pPr>
        <w:spacing w:after="120" w:line="276" w:lineRule="auto"/>
        <w:ind w:firstLine="567"/>
        <w:jc w:val="both"/>
        <w:rPr>
          <w:lang w:val="de-DE"/>
        </w:rPr>
      </w:pPr>
      <w:r w:rsidRPr="009620E0">
        <w:rPr>
          <w:lang w:val="de-DE"/>
        </w:rPr>
        <w:t>Sản lượng thủy sản khai thác trong tháng ước đạt 274,6 nghìn tấn, giảm 4,4% so với cùng kỳ năm trước, bao gồm: Cá đạt 209,6 nghìn tấn, giảm 4,8%; tôm đạt 10 nghìn tấn, giảm 5,7%; thủy sản khác đạt 55 nghìn tấn, giảm 2,7%. Sản lượng thủy sản khai thác biển ước đạt 262,1 nghìn tấn, giảm 5,6%, trong đó: Cá đạt 202,1 nghìn tấn, giảm 6%; tôm đạt 9,8 nghìn tấn, giảm 5,9%. Sản lượng thủy sản khai thác biển giảm so với cùng kỳ năm trước do những ngày đầu tháng Hai trùng với kỳ nghỉ Tết Nguyên đán nên ngư dân không ra khơi đánh bắt.</w:t>
      </w:r>
    </w:p>
    <w:p w14:paraId="18143616" w14:textId="77777777" w:rsidR="000E1182" w:rsidRPr="009620E0" w:rsidRDefault="000E1182" w:rsidP="00865420">
      <w:pPr>
        <w:jc w:val="center"/>
        <w:rPr>
          <w:rFonts w:ascii="Arial" w:hAnsi="Arial" w:cs="Arial"/>
          <w:b/>
          <w:bCs/>
          <w:sz w:val="24"/>
          <w:szCs w:val="24"/>
          <w:lang w:val="de-DE"/>
        </w:rPr>
      </w:pPr>
    </w:p>
    <w:p w14:paraId="71FCE2CB" w14:textId="77777777" w:rsidR="000E1182" w:rsidRPr="009620E0" w:rsidRDefault="000E1182" w:rsidP="00865420">
      <w:pPr>
        <w:jc w:val="center"/>
        <w:rPr>
          <w:rFonts w:ascii="Arial" w:hAnsi="Arial" w:cs="Arial"/>
          <w:b/>
          <w:bCs/>
          <w:sz w:val="24"/>
          <w:szCs w:val="24"/>
          <w:lang w:val="de-DE"/>
        </w:rPr>
      </w:pPr>
    </w:p>
    <w:p w14:paraId="37D9BFB8" w14:textId="77777777" w:rsidR="000E1182" w:rsidRPr="009620E0" w:rsidRDefault="000E1182" w:rsidP="00865420">
      <w:pPr>
        <w:jc w:val="center"/>
        <w:rPr>
          <w:rFonts w:ascii="Arial" w:hAnsi="Arial" w:cs="Arial"/>
          <w:b/>
          <w:bCs/>
          <w:sz w:val="24"/>
          <w:szCs w:val="24"/>
          <w:lang w:val="de-DE"/>
        </w:rPr>
      </w:pPr>
    </w:p>
    <w:p w14:paraId="65D0D9E4" w14:textId="1016A0EF" w:rsidR="00865420" w:rsidRPr="009620E0" w:rsidRDefault="00865420" w:rsidP="00865420">
      <w:pPr>
        <w:jc w:val="center"/>
        <w:rPr>
          <w:rFonts w:ascii="Arial" w:hAnsi="Arial" w:cs="Arial"/>
          <w:b/>
          <w:bCs/>
          <w:sz w:val="24"/>
          <w:szCs w:val="24"/>
          <w:lang w:val="de-DE"/>
        </w:rPr>
      </w:pPr>
      <w:r w:rsidRPr="009620E0">
        <w:rPr>
          <w:rFonts w:ascii="Arial" w:hAnsi="Arial" w:cs="Arial"/>
          <w:b/>
          <w:bCs/>
          <w:sz w:val="24"/>
          <w:szCs w:val="24"/>
          <w:lang w:val="de-DE"/>
        </w:rPr>
        <w:lastRenderedPageBreak/>
        <w:t xml:space="preserve">Hình 3. Sản lượng thủy sản </w:t>
      </w:r>
      <w:r w:rsidR="007C547D" w:rsidRPr="009620E0">
        <w:rPr>
          <w:rFonts w:ascii="Arial" w:hAnsi="Arial" w:cs="Arial"/>
          <w:b/>
          <w:bCs/>
          <w:sz w:val="24"/>
          <w:szCs w:val="24"/>
          <w:lang w:val="de-DE"/>
        </w:rPr>
        <w:t>2</w:t>
      </w:r>
      <w:r w:rsidRPr="009620E0">
        <w:rPr>
          <w:rFonts w:ascii="Arial" w:hAnsi="Arial" w:cs="Arial"/>
          <w:b/>
          <w:bCs/>
          <w:sz w:val="24"/>
          <w:szCs w:val="24"/>
          <w:lang w:val="de-DE"/>
        </w:rPr>
        <w:t xml:space="preserve"> tháng đầu năm 2024</w:t>
      </w:r>
    </w:p>
    <w:p w14:paraId="1843E7FB" w14:textId="77777777" w:rsidR="00865420" w:rsidRPr="009620E0" w:rsidRDefault="00865420" w:rsidP="00865420">
      <w:pPr>
        <w:shd w:val="clear" w:color="auto" w:fill="FFFFFF"/>
        <w:tabs>
          <w:tab w:val="left" w:pos="9360"/>
        </w:tabs>
        <w:jc w:val="center"/>
        <w:rPr>
          <w:rFonts w:ascii="Arial" w:hAnsi="Arial" w:cs="Arial"/>
          <w:b/>
          <w:bCs/>
          <w:sz w:val="24"/>
          <w:szCs w:val="24"/>
          <w:lang w:val="de-DE"/>
        </w:rPr>
      </w:pPr>
      <w:r w:rsidRPr="009620E0">
        <w:rPr>
          <w:rFonts w:ascii="Arial" w:hAnsi="Arial" w:cs="Arial"/>
          <w:b/>
          <w:bCs/>
          <w:sz w:val="24"/>
          <w:szCs w:val="24"/>
          <w:lang w:val="de-DE"/>
        </w:rPr>
        <w:t>so với cùng kỳ năm 2023</w:t>
      </w:r>
    </w:p>
    <w:p w14:paraId="00274E19" w14:textId="17056EE3" w:rsidR="00865420" w:rsidRPr="009620E0" w:rsidRDefault="00B515D8" w:rsidP="00865420">
      <w:pPr>
        <w:shd w:val="clear" w:color="auto" w:fill="FFFFFF"/>
        <w:tabs>
          <w:tab w:val="left" w:pos="9360"/>
        </w:tabs>
        <w:jc w:val="center"/>
        <w:rPr>
          <w:rFonts w:ascii="Arial" w:hAnsi="Arial" w:cs="Arial"/>
          <w:b/>
          <w:bCs/>
          <w:sz w:val="24"/>
          <w:szCs w:val="24"/>
          <w:lang w:val="de-DE"/>
        </w:rPr>
      </w:pPr>
      <w:r w:rsidRPr="009620E0">
        <w:rPr>
          <w:noProof/>
        </w:rPr>
        <w:drawing>
          <wp:inline distT="0" distB="0" distL="0" distR="0" wp14:anchorId="364CC3FB" wp14:editId="7F51B08A">
            <wp:extent cx="5699760" cy="1798955"/>
            <wp:effectExtent l="0" t="0" r="0" b="0"/>
            <wp:docPr id="4"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1798955"/>
                    </a:xfrm>
                    <a:prstGeom prst="rect">
                      <a:avLst/>
                    </a:prstGeom>
                    <a:noFill/>
                    <a:ln>
                      <a:noFill/>
                    </a:ln>
                  </pic:spPr>
                </pic:pic>
              </a:graphicData>
            </a:graphic>
          </wp:inline>
        </w:drawing>
      </w:r>
    </w:p>
    <w:p w14:paraId="7EEBB440" w14:textId="77777777" w:rsidR="00865420" w:rsidRPr="009620E0" w:rsidRDefault="00865420" w:rsidP="00865420">
      <w:pPr>
        <w:shd w:val="clear" w:color="auto" w:fill="FFFFFF"/>
        <w:tabs>
          <w:tab w:val="left" w:pos="9360"/>
        </w:tabs>
        <w:jc w:val="center"/>
        <w:rPr>
          <w:rFonts w:ascii="Arial" w:hAnsi="Arial" w:cs="Arial"/>
          <w:b/>
          <w:bCs/>
          <w:sz w:val="24"/>
          <w:szCs w:val="24"/>
          <w:lang w:val="de-DE"/>
        </w:rPr>
      </w:pPr>
    </w:p>
    <w:p w14:paraId="1294F774" w14:textId="4F28BAC7" w:rsidR="00B515D8" w:rsidRPr="009620E0" w:rsidRDefault="00B515D8" w:rsidP="000E1182">
      <w:pPr>
        <w:spacing w:after="120" w:line="276" w:lineRule="auto"/>
        <w:ind w:firstLine="567"/>
        <w:jc w:val="both"/>
        <w:rPr>
          <w:spacing w:val="4"/>
          <w:lang w:val="de-DE"/>
        </w:rPr>
      </w:pPr>
      <w:r w:rsidRPr="009620E0">
        <w:rPr>
          <w:spacing w:val="4"/>
          <w:lang w:val="de-DE"/>
        </w:rPr>
        <w:t xml:space="preserve">Tính chung </w:t>
      </w:r>
      <w:r w:rsidR="007C547D" w:rsidRPr="009620E0">
        <w:rPr>
          <w:spacing w:val="4"/>
          <w:lang w:val="de-DE"/>
        </w:rPr>
        <w:t>2</w:t>
      </w:r>
      <w:r w:rsidRPr="009620E0">
        <w:rPr>
          <w:spacing w:val="4"/>
          <w:lang w:val="de-DE"/>
        </w:rPr>
        <w:t xml:space="preserve"> tháng đầu năm 2024, sản lượng thủy sản ước đạt 1.211,1 nghìn tấn, tăng 1,6% so với cùng kỳ năm trước, trong đó: Cá đạt 896,1 nghìn tấn, tăng 1,3%; tôm đạt 119,4 nghìn tấn, tăng 4%; thủy sản khác đạt 195,6 nghìn tấn, tăng 1,6%.</w:t>
      </w:r>
    </w:p>
    <w:p w14:paraId="26158D98" w14:textId="77777777" w:rsidR="00865420" w:rsidRPr="009620E0" w:rsidRDefault="00865420" w:rsidP="000E1182">
      <w:pPr>
        <w:widowControl w:val="0"/>
        <w:spacing w:after="120" w:line="276" w:lineRule="auto"/>
        <w:ind w:firstLine="567"/>
        <w:jc w:val="both"/>
        <w:rPr>
          <w:b/>
          <w:bCs/>
          <w:lang w:val="pl-PL"/>
        </w:rPr>
      </w:pPr>
      <w:r w:rsidRPr="009620E0">
        <w:rPr>
          <w:b/>
          <w:bCs/>
          <w:lang w:val="pl-PL"/>
        </w:rPr>
        <w:t>2. Sản xuất công nghiệp</w:t>
      </w:r>
    </w:p>
    <w:p w14:paraId="23E5CA7A" w14:textId="689248D8" w:rsidR="00865420" w:rsidRPr="009620E0" w:rsidRDefault="00865420" w:rsidP="000E1182">
      <w:pPr>
        <w:widowControl w:val="0"/>
        <w:shd w:val="clear" w:color="auto" w:fill="FFFFFF"/>
        <w:spacing w:after="120" w:line="276" w:lineRule="auto"/>
        <w:ind w:firstLine="567"/>
        <w:jc w:val="both"/>
        <w:rPr>
          <w:i/>
          <w:lang w:val="sv-SE"/>
        </w:rPr>
      </w:pPr>
      <w:r w:rsidRPr="009620E0">
        <w:rPr>
          <w:i/>
          <w:lang w:val="sv-SE"/>
        </w:rPr>
        <w:t>Sản xuất công nghiệp tháng 02/202</w:t>
      </w:r>
      <w:r w:rsidRPr="009620E0">
        <w:rPr>
          <w:i/>
          <w:lang w:val="de-DE"/>
        </w:rPr>
        <w:t>4</w:t>
      </w:r>
      <w:r w:rsidRPr="009620E0">
        <w:rPr>
          <w:i/>
          <w:lang w:val="sv-SE"/>
        </w:rPr>
        <w:t xml:space="preserve"> ước tính giảm 18%</w:t>
      </w:r>
      <w:r w:rsidRPr="009620E0">
        <w:rPr>
          <w:i/>
          <w:lang w:val="vi-VN"/>
        </w:rPr>
        <w:t xml:space="preserve"> </w:t>
      </w:r>
      <w:r w:rsidRPr="009620E0">
        <w:rPr>
          <w:i/>
          <w:lang w:val="sv-SE"/>
        </w:rPr>
        <w:t xml:space="preserve">so với tháng trước </w:t>
      </w:r>
      <w:r w:rsidRPr="009620E0">
        <w:rPr>
          <w:i/>
          <w:lang w:val="vi-VN"/>
        </w:rPr>
        <w:t>do thời gian nghỉ Tết Nguyên đán Giáp Thìn vào</w:t>
      </w:r>
      <w:r w:rsidR="004E63EF" w:rsidRPr="009620E0">
        <w:rPr>
          <w:i/>
        </w:rPr>
        <w:t xml:space="preserve"> trọn tron</w:t>
      </w:r>
      <w:r w:rsidR="00BE06EE" w:rsidRPr="009620E0">
        <w:rPr>
          <w:i/>
        </w:rPr>
        <w:t>g</w:t>
      </w:r>
      <w:r w:rsidRPr="009620E0">
        <w:rPr>
          <w:i/>
          <w:lang w:val="vi-VN"/>
        </w:rPr>
        <w:t xml:space="preserve"> tháng Hai</w:t>
      </w:r>
      <w:r w:rsidRPr="009620E0">
        <w:rPr>
          <w:i/>
          <w:lang w:val="sv-SE"/>
        </w:rPr>
        <w:t>. So với cùng kỳ năm trước</w:t>
      </w:r>
      <w:r w:rsidRPr="009620E0">
        <w:rPr>
          <w:rStyle w:val="FootnoteReference"/>
          <w:i/>
          <w:lang w:val="vi-VN"/>
        </w:rPr>
        <w:footnoteReference w:id="3"/>
      </w:r>
      <w:r w:rsidRPr="009620E0">
        <w:rPr>
          <w:i/>
          <w:lang w:val="sv-SE"/>
        </w:rPr>
        <w:t>, sản xuất công nghiệp tháng 0</w:t>
      </w:r>
      <w:r w:rsidRPr="009620E0">
        <w:rPr>
          <w:i/>
          <w:lang w:val="vi-VN"/>
        </w:rPr>
        <w:t>2</w:t>
      </w:r>
      <w:r w:rsidRPr="009620E0">
        <w:rPr>
          <w:i/>
          <w:lang w:val="sv-SE"/>
        </w:rPr>
        <w:t>/2024 giảm 6,8</w:t>
      </w:r>
      <w:r w:rsidRPr="009620E0">
        <w:rPr>
          <w:i/>
          <w:lang w:val="vi-VN"/>
        </w:rPr>
        <w:t>%</w:t>
      </w:r>
      <w:r w:rsidRPr="009620E0">
        <w:rPr>
          <w:i/>
          <w:lang w:val="sv-SE"/>
        </w:rPr>
        <w:t xml:space="preserve">. Tính chung </w:t>
      </w:r>
      <w:r w:rsidR="007C547D" w:rsidRPr="009620E0">
        <w:rPr>
          <w:i/>
          <w:lang w:val="sv-SE"/>
        </w:rPr>
        <w:t>2</w:t>
      </w:r>
      <w:r w:rsidRPr="009620E0">
        <w:rPr>
          <w:i/>
          <w:lang w:val="sv-SE"/>
        </w:rPr>
        <w:t xml:space="preserve"> tháng đầu năm 2024, chỉ số sản xuất toàn ngành công nghiệp tăng 5,7% so với cùng kỳ năm trước.</w:t>
      </w:r>
    </w:p>
    <w:p w14:paraId="41955E05" w14:textId="77777777" w:rsidR="00865420" w:rsidRPr="009620E0" w:rsidRDefault="00865420" w:rsidP="000E1182">
      <w:pPr>
        <w:widowControl w:val="0"/>
        <w:shd w:val="clear" w:color="auto" w:fill="FFFFFF"/>
        <w:tabs>
          <w:tab w:val="left" w:pos="8931"/>
        </w:tabs>
        <w:spacing w:after="120" w:line="276" w:lineRule="auto"/>
        <w:ind w:firstLine="567"/>
        <w:jc w:val="both"/>
        <w:rPr>
          <w:lang w:val="pl-PL"/>
        </w:rPr>
      </w:pPr>
      <w:r w:rsidRPr="009620E0">
        <w:rPr>
          <w:lang w:val="pl-PL"/>
        </w:rPr>
        <w:t xml:space="preserve">Chỉ số sản xuất toàn ngành công nghiệp (IIP) tháng </w:t>
      </w:r>
      <w:r w:rsidRPr="009620E0">
        <w:rPr>
          <w:lang w:val="vi-VN"/>
        </w:rPr>
        <w:t>02/202</w:t>
      </w:r>
      <w:r w:rsidRPr="009620E0">
        <w:rPr>
          <w:lang w:val="sv-SE"/>
        </w:rPr>
        <w:t>4</w:t>
      </w:r>
      <w:r w:rsidRPr="009620E0">
        <w:rPr>
          <w:lang w:val="pl-PL"/>
        </w:rPr>
        <w:t xml:space="preserve"> ước tính </w:t>
      </w:r>
      <w:r w:rsidRPr="009620E0">
        <w:rPr>
          <w:lang w:val="sv-SE"/>
        </w:rPr>
        <w:t>giảm 18%</w:t>
      </w:r>
      <w:r w:rsidRPr="009620E0">
        <w:rPr>
          <w:lang w:val="pl-PL"/>
        </w:rPr>
        <w:t xml:space="preserve"> so với tháng trước</w:t>
      </w:r>
      <w:r w:rsidRPr="009620E0">
        <w:rPr>
          <w:rStyle w:val="FootnoteReference"/>
          <w:lang w:val="pl-PL"/>
        </w:rPr>
        <w:footnoteReference w:id="4"/>
      </w:r>
      <w:r w:rsidRPr="009620E0">
        <w:rPr>
          <w:lang w:val="pl-PL"/>
        </w:rPr>
        <w:t xml:space="preserve"> và giảm 6,8% so với cùng kỳ năm trước</w:t>
      </w:r>
      <w:r w:rsidRPr="009620E0">
        <w:rPr>
          <w:lang w:val="vi-VN"/>
        </w:rPr>
        <w:t>. T</w:t>
      </w:r>
      <w:r w:rsidRPr="009620E0">
        <w:rPr>
          <w:lang w:val="pl-PL"/>
        </w:rPr>
        <w:t>rong đó</w:t>
      </w:r>
      <w:r w:rsidRPr="009620E0">
        <w:rPr>
          <w:lang w:val="vi-VN"/>
        </w:rPr>
        <w:t>, n</w:t>
      </w:r>
      <w:r w:rsidRPr="009620E0">
        <w:rPr>
          <w:lang w:val="pl-PL"/>
        </w:rPr>
        <w:t xml:space="preserve">gành khai khoáng </w:t>
      </w:r>
      <w:r w:rsidRPr="009620E0">
        <w:rPr>
          <w:lang w:val="vi-VN"/>
        </w:rPr>
        <w:t>giảm 15,3</w:t>
      </w:r>
      <w:r w:rsidRPr="009620E0">
        <w:rPr>
          <w:lang w:val="pl-PL"/>
        </w:rPr>
        <w:t xml:space="preserve">% so với cùng kỳ năm trước; ngành chế biến, chế tạo giảm 6,5%; sản xuất và phân phối điện giảm 3,6%; cung cấp nước, hoạt động quản lý và xử lý rác thải, nước thải giảm 1,1%. </w:t>
      </w:r>
    </w:p>
    <w:p w14:paraId="1A44CC65" w14:textId="4F017D87" w:rsidR="00865420" w:rsidRPr="009620E0" w:rsidRDefault="00865420" w:rsidP="000E1182">
      <w:pPr>
        <w:widowControl w:val="0"/>
        <w:shd w:val="clear" w:color="auto" w:fill="FFFFFF"/>
        <w:tabs>
          <w:tab w:val="left" w:pos="8931"/>
        </w:tabs>
        <w:spacing w:after="120" w:line="276" w:lineRule="auto"/>
        <w:ind w:firstLine="567"/>
        <w:jc w:val="both"/>
        <w:rPr>
          <w:lang w:val="pl-PL"/>
        </w:rPr>
      </w:pPr>
      <w:r w:rsidRPr="009620E0">
        <w:rPr>
          <w:lang w:val="pl-PL"/>
        </w:rPr>
        <w:t xml:space="preserve">Tính chung </w:t>
      </w:r>
      <w:r w:rsidR="007C547D" w:rsidRPr="009620E0">
        <w:rPr>
          <w:lang w:val="pl-PL"/>
        </w:rPr>
        <w:t>2</w:t>
      </w:r>
      <w:r w:rsidRPr="009620E0">
        <w:rPr>
          <w:lang w:val="pl-PL"/>
        </w:rPr>
        <w:t xml:space="preserve"> tháng </w:t>
      </w:r>
      <w:r w:rsidRPr="009620E0">
        <w:rPr>
          <w:lang w:val="vi-VN"/>
        </w:rPr>
        <w:t xml:space="preserve">đầu </w:t>
      </w:r>
      <w:r w:rsidRPr="009620E0">
        <w:rPr>
          <w:lang w:val="pl-PL"/>
        </w:rPr>
        <w:t>năm 2024, IIP ước tính tăng 5,7% so với cùng kỳ năm trước (</w:t>
      </w:r>
      <w:r w:rsidRPr="009620E0">
        <w:rPr>
          <w:lang w:val="vi-VN"/>
        </w:rPr>
        <w:t>cùng kỳ năm 202</w:t>
      </w:r>
      <w:r w:rsidRPr="009620E0">
        <w:rPr>
          <w:lang w:val="pl-PL"/>
        </w:rPr>
        <w:t>3</w:t>
      </w:r>
      <w:r w:rsidRPr="009620E0">
        <w:rPr>
          <w:lang w:val="vi-VN"/>
        </w:rPr>
        <w:t xml:space="preserve"> giảm 2,9%</w:t>
      </w:r>
      <w:r w:rsidRPr="009620E0">
        <w:rPr>
          <w:lang w:val="pl-PL"/>
        </w:rPr>
        <w:t xml:space="preserve">). Trong đó, ngành khai khoáng giảm 3,5% (cùng kỳ năm 2023 giảm 2,4%), làm giảm </w:t>
      </w:r>
      <w:r w:rsidRPr="009620E0">
        <w:rPr>
          <w:lang w:val="vi-VN"/>
        </w:rPr>
        <w:t>0,</w:t>
      </w:r>
      <w:r w:rsidRPr="009620E0">
        <w:rPr>
          <w:lang w:val="pl-PL"/>
        </w:rPr>
        <w:t xml:space="preserve">6 điểm phần trăm trong mức tăng chung; ngành chế biến, chế tạo tăng 5,9% (cùng kỳ năm 2023 giảm 3,1%), đóng góp </w:t>
      </w:r>
      <w:r w:rsidRPr="009620E0">
        <w:rPr>
          <w:lang w:val="vi-VN"/>
        </w:rPr>
        <w:t>5</w:t>
      </w:r>
      <w:r w:rsidRPr="009620E0">
        <w:rPr>
          <w:lang w:val="pl-PL"/>
        </w:rPr>
        <w:t xml:space="preserve">,2 điểm phần trăm; ngành sản xuất và phân phối điện tăng 12,2% (cùng kỳ năm 2023 giảm 2,6%), đóng góp 1,1 điểm phần trăm; ngành cung cấp nước, hoạt động quản lý và xử lý rác thải, nước thải tăng </w:t>
      </w:r>
      <w:r w:rsidRPr="009620E0">
        <w:rPr>
          <w:lang w:val="vi-VN"/>
        </w:rPr>
        <w:t>2,</w:t>
      </w:r>
      <w:r w:rsidRPr="009620E0">
        <w:rPr>
          <w:lang w:val="pl-PL"/>
        </w:rPr>
        <w:t>5% (cùng kỳ năm 2023 tăng 2,9%), đóng góp 0,04 điểm phần trăm.</w:t>
      </w:r>
    </w:p>
    <w:p w14:paraId="38686132" w14:textId="28417C95" w:rsidR="00865420" w:rsidRPr="009620E0" w:rsidRDefault="00865420" w:rsidP="000E1182">
      <w:pPr>
        <w:widowControl w:val="0"/>
        <w:shd w:val="clear" w:color="auto" w:fill="FFFFFF"/>
        <w:tabs>
          <w:tab w:val="left" w:pos="8931"/>
        </w:tabs>
        <w:spacing w:after="120" w:line="276" w:lineRule="auto"/>
        <w:ind w:firstLine="567"/>
        <w:jc w:val="both"/>
        <w:rPr>
          <w:sz w:val="14"/>
          <w:lang w:val="pl-PL"/>
        </w:rPr>
      </w:pPr>
      <w:r w:rsidRPr="009620E0">
        <w:rPr>
          <w:lang w:val="pl-PL"/>
        </w:rPr>
        <w:lastRenderedPageBreak/>
        <w:t xml:space="preserve">Chỉ số sản xuất công nghiệp </w:t>
      </w:r>
      <w:r w:rsidR="007C547D" w:rsidRPr="009620E0">
        <w:rPr>
          <w:lang w:val="pl-PL"/>
        </w:rPr>
        <w:t>2</w:t>
      </w:r>
      <w:r w:rsidRPr="009620E0">
        <w:rPr>
          <w:lang w:val="pl-PL"/>
        </w:rPr>
        <w:t xml:space="preserve"> tháng đầu năm 2024 của một số ngành trọng điểm cấp II tăng so với cùng kỳ năm trước: </w:t>
      </w:r>
      <w:r w:rsidRPr="009620E0">
        <w:rPr>
          <w:lang w:val="vi-VN"/>
        </w:rPr>
        <w:t>Sản xuất hoá chất và sản phẩm hoá chất tăng</w:t>
      </w:r>
      <w:r w:rsidRPr="009620E0">
        <w:rPr>
          <w:lang w:val="pl-PL"/>
        </w:rPr>
        <w:t xml:space="preserve"> 27,7</w:t>
      </w:r>
      <w:r w:rsidRPr="009620E0">
        <w:rPr>
          <w:lang w:val="vi-VN"/>
        </w:rPr>
        <w:t>%;</w:t>
      </w:r>
      <w:r w:rsidRPr="009620E0">
        <w:rPr>
          <w:lang w:val="pl-PL"/>
        </w:rPr>
        <w:t xml:space="preserve"> sản xuất than cốc, sản phẩm dầu mỏ tinh chế tăng 25,3%; sản xuất sản phẩm từ cao su và plastic tăng 24,3%; sản xuất giường, tủ, bàn, ghế tăng</w:t>
      </w:r>
      <w:r w:rsidRPr="009620E0">
        <w:rPr>
          <w:lang w:val="vi-VN"/>
        </w:rPr>
        <w:t xml:space="preserve"> </w:t>
      </w:r>
      <w:r w:rsidRPr="009620E0">
        <w:rPr>
          <w:lang w:val="pl-PL"/>
        </w:rPr>
        <w:t>23,4</w:t>
      </w:r>
      <w:r w:rsidRPr="009620E0">
        <w:rPr>
          <w:lang w:val="vi-VN"/>
        </w:rPr>
        <w:t>%; sản xuất thuốc, hoá dược và dược liệu tăng</w:t>
      </w:r>
      <w:r w:rsidRPr="009620E0">
        <w:rPr>
          <w:lang w:val="pl-PL"/>
        </w:rPr>
        <w:t xml:space="preserve"> 23,2</w:t>
      </w:r>
      <w:r w:rsidRPr="009620E0">
        <w:rPr>
          <w:lang w:val="vi-VN"/>
        </w:rPr>
        <w:t xml:space="preserve">%; </w:t>
      </w:r>
      <w:r w:rsidRPr="009620E0">
        <w:rPr>
          <w:lang w:val="pl-PL"/>
        </w:rPr>
        <w:t>sản xuất thiết bị điện tăng 22,1%; dệt tăng 17,6</w:t>
      </w:r>
      <w:r w:rsidRPr="009620E0">
        <w:rPr>
          <w:lang w:val="vi-VN"/>
        </w:rPr>
        <w:t xml:space="preserve">%; </w:t>
      </w:r>
      <w:r w:rsidRPr="009620E0">
        <w:rPr>
          <w:lang w:val="pl-PL"/>
        </w:rPr>
        <w:t>sản xuất chế biến thực phẩm tăng 5,8%</w:t>
      </w:r>
      <w:r w:rsidRPr="009620E0">
        <w:rPr>
          <w:lang w:val="vi-VN"/>
        </w:rPr>
        <w:t>; sản xuất xe có động cơ tăng 0,9</w:t>
      </w:r>
      <w:r w:rsidRPr="009620E0">
        <w:rPr>
          <w:lang w:val="pl-PL"/>
        </w:rPr>
        <w:t>%; sản xuất sản phẩm từ khoáng phi kim loại khác tăng 0,6%. Ở chiều ngược lại, chỉ số IIP của một số ngành giảm so với cùng kỳ năm trước: Sửa chữa, bảo dưỡng và lắp đặt máy móc thiết bị giảm 21,8%</w:t>
      </w:r>
      <w:r w:rsidRPr="009620E0">
        <w:rPr>
          <w:lang w:val="vi-VN"/>
        </w:rPr>
        <w:t xml:space="preserve">; </w:t>
      </w:r>
      <w:r w:rsidRPr="009620E0">
        <w:rPr>
          <w:lang w:val="pl-PL"/>
        </w:rPr>
        <w:t>khai thác dầu thô và khí đốt tự nhiên giảm 9,4%</w:t>
      </w:r>
      <w:r w:rsidRPr="009620E0">
        <w:rPr>
          <w:lang w:val="vi-VN"/>
        </w:rPr>
        <w:t>;</w:t>
      </w:r>
      <w:r w:rsidRPr="009620E0">
        <w:rPr>
          <w:lang w:val="pl-PL"/>
        </w:rPr>
        <w:t xml:space="preserve"> sản xuất đồ uống giảm 6,6%; sản xuất sản phẩm điện tử, máy vi tính và sản phẩm quang học giảm 2,6%;</w:t>
      </w:r>
      <w:r w:rsidRPr="009620E0">
        <w:rPr>
          <w:lang w:val="vi-VN"/>
        </w:rPr>
        <w:t xml:space="preserve"> </w:t>
      </w:r>
      <w:r w:rsidRPr="009620E0">
        <w:rPr>
          <w:lang w:val="pl-PL"/>
        </w:rPr>
        <w:t>sản xuất phương tiện vận tải khác giảm 0,8</w:t>
      </w:r>
      <w:r w:rsidRPr="009620E0">
        <w:rPr>
          <w:lang w:val="vi-VN"/>
        </w:rPr>
        <w:t>%</w:t>
      </w:r>
      <w:r w:rsidRPr="009620E0">
        <w:rPr>
          <w:lang w:val="pl-PL"/>
        </w:rPr>
        <w:t>.</w:t>
      </w:r>
    </w:p>
    <w:p w14:paraId="17657C5B" w14:textId="4739CF42" w:rsidR="00865420" w:rsidRPr="009620E0" w:rsidRDefault="00865420" w:rsidP="00865420">
      <w:pPr>
        <w:shd w:val="clear" w:color="auto" w:fill="FFFFFF"/>
        <w:tabs>
          <w:tab w:val="left" w:pos="8931"/>
        </w:tabs>
        <w:spacing w:before="120" w:after="120" w:line="252" w:lineRule="auto"/>
        <w:jc w:val="center"/>
        <w:rPr>
          <w:rFonts w:ascii="Arial" w:hAnsi="Arial" w:cs="Arial"/>
          <w:b/>
          <w:spacing w:val="-2"/>
          <w:sz w:val="24"/>
          <w:szCs w:val="22"/>
          <w:lang w:val="pl-PL"/>
        </w:rPr>
      </w:pPr>
      <w:r w:rsidRPr="009620E0">
        <w:rPr>
          <w:rFonts w:ascii="Arial" w:hAnsi="Arial" w:cs="Arial"/>
          <w:b/>
          <w:spacing w:val="-2"/>
          <w:sz w:val="24"/>
          <w:szCs w:val="22"/>
          <w:lang w:val="pl-PL"/>
        </w:rPr>
        <w:t xml:space="preserve">Biểu 1. Tốc độ tăng/giảm chỉ số IIP </w:t>
      </w:r>
      <w:r w:rsidR="007C547D" w:rsidRPr="009620E0">
        <w:rPr>
          <w:rFonts w:ascii="Arial" w:hAnsi="Arial" w:cs="Arial"/>
          <w:b/>
          <w:spacing w:val="-2"/>
          <w:sz w:val="24"/>
          <w:szCs w:val="22"/>
          <w:lang w:val="pl-PL"/>
        </w:rPr>
        <w:t>2</w:t>
      </w:r>
      <w:r w:rsidRPr="009620E0">
        <w:rPr>
          <w:rFonts w:ascii="Arial" w:hAnsi="Arial" w:cs="Arial"/>
          <w:b/>
          <w:spacing w:val="-2"/>
          <w:sz w:val="24"/>
          <w:szCs w:val="22"/>
          <w:lang w:val="vi-VN"/>
        </w:rPr>
        <w:t xml:space="preserve"> tháng đầu năm</w:t>
      </w:r>
      <w:r w:rsidRPr="009620E0">
        <w:rPr>
          <w:rFonts w:ascii="Arial" w:hAnsi="Arial" w:cs="Arial"/>
          <w:b/>
          <w:spacing w:val="-2"/>
          <w:sz w:val="24"/>
          <w:szCs w:val="22"/>
          <w:lang w:val="pl-PL"/>
        </w:rPr>
        <w:t xml:space="preserve"> các năm 2020-2024</w:t>
      </w:r>
      <w:r w:rsidRPr="009620E0">
        <w:rPr>
          <w:rFonts w:ascii="Arial" w:hAnsi="Arial" w:cs="Arial"/>
          <w:b/>
          <w:spacing w:val="-2"/>
          <w:sz w:val="24"/>
          <w:szCs w:val="22"/>
          <w:lang w:val="pl-PL"/>
        </w:rPr>
        <w:br/>
        <w:t xml:space="preserve">so với cùng kỳ năm trước của một số ngành công nghiệp trọng điểm </w:t>
      </w:r>
    </w:p>
    <w:p w14:paraId="2BD931A2" w14:textId="77777777" w:rsidR="00865420" w:rsidRPr="009620E0" w:rsidRDefault="00865420" w:rsidP="00865420">
      <w:pPr>
        <w:shd w:val="clear" w:color="auto" w:fill="FFFFFF"/>
        <w:tabs>
          <w:tab w:val="left" w:pos="8931"/>
        </w:tabs>
        <w:spacing w:before="60"/>
        <w:jc w:val="right"/>
        <w:rPr>
          <w:rFonts w:ascii="Arial" w:hAnsi="Arial" w:cs="Arial"/>
          <w:spacing w:val="-2"/>
          <w:sz w:val="20"/>
          <w:szCs w:val="20"/>
          <w:lang w:val="pl-PL"/>
        </w:rPr>
      </w:pPr>
      <w:r w:rsidRPr="009620E0">
        <w:rPr>
          <w:rFonts w:ascii="Arial" w:hAnsi="Arial" w:cs="Arial"/>
          <w:spacing w:val="-2"/>
          <w:sz w:val="20"/>
          <w:szCs w:val="20"/>
          <w:lang w:val="pl-PL"/>
        </w:rPr>
        <w:t xml:space="preserve">   %</w:t>
      </w:r>
    </w:p>
    <w:tbl>
      <w:tblPr>
        <w:tblW w:w="9223" w:type="dxa"/>
        <w:jc w:val="center"/>
        <w:tblBorders>
          <w:top w:val="single" w:sz="4" w:space="0" w:color="auto"/>
        </w:tblBorders>
        <w:tblLook w:val="04A0" w:firstRow="1" w:lastRow="0" w:firstColumn="1" w:lastColumn="0" w:noHBand="0" w:noVBand="1"/>
      </w:tblPr>
      <w:tblGrid>
        <w:gridCol w:w="3987"/>
        <w:gridCol w:w="1234"/>
        <w:gridCol w:w="733"/>
        <w:gridCol w:w="75"/>
        <w:gridCol w:w="1059"/>
        <w:gridCol w:w="53"/>
        <w:gridCol w:w="1081"/>
        <w:gridCol w:w="31"/>
        <w:gridCol w:w="970"/>
      </w:tblGrid>
      <w:tr w:rsidR="009620E0" w:rsidRPr="009620E0" w14:paraId="3681E5C1" w14:textId="77777777" w:rsidTr="00865420">
        <w:trPr>
          <w:trHeight w:val="585"/>
          <w:jc w:val="center"/>
        </w:trPr>
        <w:tc>
          <w:tcPr>
            <w:tcW w:w="3987" w:type="dxa"/>
            <w:tcBorders>
              <w:top w:val="single" w:sz="4" w:space="0" w:color="auto"/>
              <w:left w:val="nil"/>
              <w:bottom w:val="nil"/>
              <w:right w:val="nil"/>
            </w:tcBorders>
            <w:shd w:val="clear" w:color="auto" w:fill="FFFFFF"/>
            <w:hideMark/>
          </w:tcPr>
          <w:p w14:paraId="4651D9E9" w14:textId="77777777" w:rsidR="00865420" w:rsidRPr="009620E0" w:rsidRDefault="00865420" w:rsidP="00865420">
            <w:pPr>
              <w:jc w:val="center"/>
              <w:rPr>
                <w:rFonts w:ascii="Arial" w:hAnsi="Arial" w:cs="Arial"/>
                <w:b/>
                <w:bCs/>
                <w:sz w:val="20"/>
                <w:szCs w:val="20"/>
              </w:rPr>
            </w:pPr>
            <w:r w:rsidRPr="009620E0">
              <w:rPr>
                <w:rFonts w:ascii="Arial" w:hAnsi="Arial" w:cs="Arial"/>
                <w:b/>
                <w:bCs/>
                <w:sz w:val="20"/>
                <w:szCs w:val="20"/>
              </w:rPr>
              <w:t> </w:t>
            </w:r>
          </w:p>
        </w:tc>
        <w:tc>
          <w:tcPr>
            <w:tcW w:w="1234" w:type="dxa"/>
            <w:tcBorders>
              <w:top w:val="single" w:sz="4" w:space="0" w:color="auto"/>
              <w:left w:val="nil"/>
              <w:bottom w:val="single" w:sz="4" w:space="0" w:color="auto"/>
              <w:right w:val="nil"/>
            </w:tcBorders>
            <w:vAlign w:val="center"/>
            <w:hideMark/>
          </w:tcPr>
          <w:p w14:paraId="4D21931D" w14:textId="77777777" w:rsidR="00865420" w:rsidRPr="009620E0" w:rsidRDefault="00865420" w:rsidP="00865420">
            <w:pPr>
              <w:jc w:val="right"/>
              <w:rPr>
                <w:rFonts w:ascii="Arial" w:hAnsi="Arial" w:cs="Arial"/>
                <w:b/>
                <w:bCs/>
                <w:sz w:val="20"/>
                <w:szCs w:val="20"/>
              </w:rPr>
            </w:pPr>
            <w:r w:rsidRPr="009620E0">
              <w:rPr>
                <w:rFonts w:ascii="Arial" w:hAnsi="Arial" w:cs="Arial"/>
                <w:b/>
                <w:bCs/>
                <w:sz w:val="20"/>
                <w:szCs w:val="20"/>
              </w:rPr>
              <w:t xml:space="preserve"> 2020</w:t>
            </w:r>
          </w:p>
        </w:tc>
        <w:tc>
          <w:tcPr>
            <w:tcW w:w="808" w:type="dxa"/>
            <w:gridSpan w:val="2"/>
            <w:tcBorders>
              <w:top w:val="single" w:sz="4" w:space="0" w:color="auto"/>
              <w:left w:val="nil"/>
              <w:bottom w:val="single" w:sz="4" w:space="0" w:color="auto"/>
              <w:right w:val="nil"/>
            </w:tcBorders>
            <w:vAlign w:val="center"/>
          </w:tcPr>
          <w:p w14:paraId="1C15A6B7" w14:textId="77777777" w:rsidR="00865420" w:rsidRPr="009620E0" w:rsidRDefault="00865420" w:rsidP="00865420">
            <w:pPr>
              <w:jc w:val="right"/>
              <w:rPr>
                <w:rFonts w:ascii="Arial" w:hAnsi="Arial" w:cs="Arial"/>
                <w:b/>
                <w:bCs/>
                <w:sz w:val="20"/>
                <w:szCs w:val="20"/>
              </w:rPr>
            </w:pPr>
            <w:r w:rsidRPr="009620E0">
              <w:rPr>
                <w:rFonts w:ascii="Arial" w:hAnsi="Arial" w:cs="Arial"/>
                <w:b/>
                <w:bCs/>
                <w:sz w:val="20"/>
                <w:szCs w:val="20"/>
              </w:rPr>
              <w:t>2021</w:t>
            </w:r>
          </w:p>
        </w:tc>
        <w:tc>
          <w:tcPr>
            <w:tcW w:w="1112" w:type="dxa"/>
            <w:gridSpan w:val="2"/>
            <w:tcBorders>
              <w:top w:val="single" w:sz="4" w:space="0" w:color="auto"/>
              <w:left w:val="nil"/>
              <w:bottom w:val="single" w:sz="4" w:space="0" w:color="auto"/>
              <w:right w:val="nil"/>
            </w:tcBorders>
            <w:vAlign w:val="center"/>
          </w:tcPr>
          <w:p w14:paraId="05A97288" w14:textId="77777777" w:rsidR="00865420" w:rsidRPr="009620E0" w:rsidRDefault="00865420" w:rsidP="00865420">
            <w:pPr>
              <w:jc w:val="right"/>
              <w:rPr>
                <w:rFonts w:ascii="Arial" w:hAnsi="Arial" w:cs="Arial"/>
                <w:b/>
                <w:bCs/>
                <w:sz w:val="20"/>
                <w:szCs w:val="20"/>
              </w:rPr>
            </w:pPr>
            <w:r w:rsidRPr="009620E0">
              <w:rPr>
                <w:rFonts w:ascii="Arial" w:hAnsi="Arial" w:cs="Arial"/>
                <w:b/>
                <w:bCs/>
                <w:sz w:val="20"/>
                <w:szCs w:val="20"/>
              </w:rPr>
              <w:t>2022</w:t>
            </w:r>
          </w:p>
        </w:tc>
        <w:tc>
          <w:tcPr>
            <w:tcW w:w="1112" w:type="dxa"/>
            <w:gridSpan w:val="2"/>
            <w:tcBorders>
              <w:top w:val="single" w:sz="4" w:space="0" w:color="auto"/>
              <w:left w:val="nil"/>
              <w:bottom w:val="single" w:sz="4" w:space="0" w:color="auto"/>
              <w:right w:val="nil"/>
            </w:tcBorders>
            <w:vAlign w:val="center"/>
          </w:tcPr>
          <w:p w14:paraId="509B79C9" w14:textId="77777777" w:rsidR="00865420" w:rsidRPr="009620E0" w:rsidRDefault="00865420" w:rsidP="00865420">
            <w:pPr>
              <w:jc w:val="right"/>
              <w:rPr>
                <w:rFonts w:ascii="Arial" w:hAnsi="Arial" w:cs="Arial"/>
                <w:b/>
                <w:bCs/>
                <w:sz w:val="20"/>
                <w:szCs w:val="20"/>
              </w:rPr>
            </w:pPr>
            <w:r w:rsidRPr="009620E0">
              <w:rPr>
                <w:rFonts w:ascii="Arial" w:hAnsi="Arial" w:cs="Arial"/>
                <w:b/>
                <w:bCs/>
                <w:sz w:val="20"/>
                <w:szCs w:val="20"/>
              </w:rPr>
              <w:t>2023</w:t>
            </w:r>
          </w:p>
        </w:tc>
        <w:tc>
          <w:tcPr>
            <w:tcW w:w="970" w:type="dxa"/>
            <w:tcBorders>
              <w:top w:val="single" w:sz="4" w:space="0" w:color="auto"/>
              <w:left w:val="nil"/>
              <w:bottom w:val="single" w:sz="4" w:space="0" w:color="auto"/>
              <w:right w:val="nil"/>
            </w:tcBorders>
            <w:vAlign w:val="center"/>
          </w:tcPr>
          <w:p w14:paraId="779BFE91" w14:textId="77777777" w:rsidR="00865420" w:rsidRPr="009620E0" w:rsidRDefault="00865420" w:rsidP="00865420">
            <w:pPr>
              <w:jc w:val="right"/>
              <w:rPr>
                <w:rFonts w:ascii="Arial" w:hAnsi="Arial" w:cs="Arial"/>
                <w:b/>
                <w:bCs/>
                <w:sz w:val="20"/>
                <w:szCs w:val="20"/>
              </w:rPr>
            </w:pPr>
            <w:r w:rsidRPr="009620E0">
              <w:rPr>
                <w:rFonts w:ascii="Arial" w:hAnsi="Arial" w:cs="Arial"/>
                <w:b/>
                <w:bCs/>
                <w:sz w:val="20"/>
                <w:szCs w:val="20"/>
              </w:rPr>
              <w:t>2024</w:t>
            </w:r>
          </w:p>
        </w:tc>
      </w:tr>
      <w:tr w:rsidR="009620E0" w:rsidRPr="009620E0" w14:paraId="6C19249C"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338C2D4F" w14:textId="77777777" w:rsidR="00865420" w:rsidRPr="009620E0" w:rsidRDefault="00865420" w:rsidP="00865420">
            <w:pPr>
              <w:rPr>
                <w:rFonts w:ascii="Arial" w:hAnsi="Arial" w:cs="Arial"/>
                <w:sz w:val="20"/>
                <w:szCs w:val="20"/>
              </w:rPr>
            </w:pPr>
            <w:r w:rsidRPr="009620E0">
              <w:rPr>
                <w:rFonts w:ascii="Arial" w:hAnsi="Arial" w:cs="Arial"/>
                <w:sz w:val="20"/>
                <w:szCs w:val="20"/>
              </w:rPr>
              <w:t>Khai thác dầu thô và khí đốt tự nhiên</w:t>
            </w:r>
          </w:p>
        </w:tc>
        <w:tc>
          <w:tcPr>
            <w:tcW w:w="1234" w:type="dxa"/>
            <w:tcBorders>
              <w:top w:val="nil"/>
              <w:left w:val="nil"/>
              <w:bottom w:val="nil"/>
              <w:right w:val="nil"/>
            </w:tcBorders>
            <w:vAlign w:val="center"/>
            <w:hideMark/>
          </w:tcPr>
          <w:p w14:paraId="23B30B43"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-7,8</w:t>
            </w:r>
          </w:p>
        </w:tc>
        <w:tc>
          <w:tcPr>
            <w:tcW w:w="733" w:type="dxa"/>
            <w:tcBorders>
              <w:top w:val="nil"/>
              <w:left w:val="nil"/>
              <w:bottom w:val="nil"/>
              <w:right w:val="nil"/>
            </w:tcBorders>
            <w:vAlign w:val="center"/>
            <w:hideMark/>
          </w:tcPr>
          <w:p w14:paraId="26C3E1D5"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-9,9</w:t>
            </w:r>
          </w:p>
        </w:tc>
        <w:tc>
          <w:tcPr>
            <w:tcW w:w="1134" w:type="dxa"/>
            <w:gridSpan w:val="2"/>
            <w:tcBorders>
              <w:top w:val="nil"/>
              <w:left w:val="nil"/>
              <w:bottom w:val="nil"/>
              <w:right w:val="nil"/>
            </w:tcBorders>
            <w:vAlign w:val="center"/>
            <w:hideMark/>
          </w:tcPr>
          <w:p w14:paraId="43BB6FB6"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-3,4</w:t>
            </w:r>
          </w:p>
        </w:tc>
        <w:tc>
          <w:tcPr>
            <w:tcW w:w="1134" w:type="dxa"/>
            <w:gridSpan w:val="2"/>
            <w:tcBorders>
              <w:top w:val="nil"/>
              <w:left w:val="nil"/>
              <w:bottom w:val="nil"/>
              <w:right w:val="nil"/>
            </w:tcBorders>
            <w:vAlign w:val="center"/>
            <w:hideMark/>
          </w:tcPr>
          <w:p w14:paraId="08B96FF6"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-3,1</w:t>
            </w:r>
          </w:p>
        </w:tc>
        <w:tc>
          <w:tcPr>
            <w:tcW w:w="1001" w:type="dxa"/>
            <w:gridSpan w:val="2"/>
            <w:tcBorders>
              <w:top w:val="nil"/>
              <w:left w:val="nil"/>
              <w:bottom w:val="nil"/>
              <w:right w:val="nil"/>
            </w:tcBorders>
            <w:vAlign w:val="center"/>
            <w:hideMark/>
          </w:tcPr>
          <w:p w14:paraId="4D08F7D9"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-9,4</w:t>
            </w:r>
          </w:p>
        </w:tc>
      </w:tr>
      <w:tr w:rsidR="009620E0" w:rsidRPr="009620E0" w14:paraId="27DBFB4A"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1B9E5A47"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chế biến thực phẩm</w:t>
            </w:r>
          </w:p>
        </w:tc>
        <w:tc>
          <w:tcPr>
            <w:tcW w:w="1234" w:type="dxa"/>
            <w:tcBorders>
              <w:top w:val="nil"/>
              <w:left w:val="nil"/>
              <w:bottom w:val="nil"/>
              <w:right w:val="nil"/>
            </w:tcBorders>
            <w:vAlign w:val="center"/>
            <w:hideMark/>
          </w:tcPr>
          <w:p w14:paraId="24FA14F6"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5,2</w:t>
            </w:r>
          </w:p>
        </w:tc>
        <w:tc>
          <w:tcPr>
            <w:tcW w:w="733" w:type="dxa"/>
            <w:tcBorders>
              <w:top w:val="nil"/>
              <w:left w:val="nil"/>
              <w:bottom w:val="nil"/>
              <w:right w:val="nil"/>
            </w:tcBorders>
            <w:vAlign w:val="center"/>
            <w:hideMark/>
          </w:tcPr>
          <w:p w14:paraId="2902D991"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3,3</w:t>
            </w:r>
          </w:p>
        </w:tc>
        <w:tc>
          <w:tcPr>
            <w:tcW w:w="1134" w:type="dxa"/>
            <w:gridSpan w:val="2"/>
            <w:tcBorders>
              <w:top w:val="nil"/>
              <w:left w:val="nil"/>
              <w:bottom w:val="nil"/>
              <w:right w:val="nil"/>
            </w:tcBorders>
            <w:vAlign w:val="center"/>
            <w:hideMark/>
          </w:tcPr>
          <w:p w14:paraId="6D614BFE"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6,2</w:t>
            </w:r>
          </w:p>
        </w:tc>
        <w:tc>
          <w:tcPr>
            <w:tcW w:w="1134" w:type="dxa"/>
            <w:gridSpan w:val="2"/>
            <w:tcBorders>
              <w:top w:val="nil"/>
              <w:left w:val="nil"/>
              <w:bottom w:val="nil"/>
              <w:right w:val="nil"/>
            </w:tcBorders>
            <w:vAlign w:val="center"/>
            <w:hideMark/>
          </w:tcPr>
          <w:p w14:paraId="48AD319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1,2</w:t>
            </w:r>
          </w:p>
        </w:tc>
        <w:tc>
          <w:tcPr>
            <w:tcW w:w="1001" w:type="dxa"/>
            <w:gridSpan w:val="2"/>
            <w:tcBorders>
              <w:top w:val="nil"/>
              <w:left w:val="nil"/>
              <w:bottom w:val="nil"/>
              <w:right w:val="nil"/>
            </w:tcBorders>
            <w:vAlign w:val="center"/>
            <w:hideMark/>
          </w:tcPr>
          <w:p w14:paraId="3753E098"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5,8</w:t>
            </w:r>
          </w:p>
        </w:tc>
      </w:tr>
      <w:tr w:rsidR="009620E0" w:rsidRPr="009620E0" w14:paraId="616531C2" w14:textId="77777777" w:rsidTr="000E1182">
        <w:trPr>
          <w:trHeight w:val="317"/>
          <w:jc w:val="center"/>
        </w:trPr>
        <w:tc>
          <w:tcPr>
            <w:tcW w:w="3987" w:type="dxa"/>
            <w:tcBorders>
              <w:top w:val="nil"/>
              <w:left w:val="nil"/>
              <w:bottom w:val="nil"/>
              <w:right w:val="nil"/>
            </w:tcBorders>
            <w:shd w:val="clear" w:color="auto" w:fill="FFFFFF"/>
            <w:vAlign w:val="center"/>
            <w:hideMark/>
          </w:tcPr>
          <w:p w14:paraId="3D441814"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đồ uống</w:t>
            </w:r>
          </w:p>
        </w:tc>
        <w:tc>
          <w:tcPr>
            <w:tcW w:w="1234" w:type="dxa"/>
            <w:tcBorders>
              <w:top w:val="nil"/>
              <w:left w:val="nil"/>
              <w:bottom w:val="nil"/>
              <w:right w:val="nil"/>
            </w:tcBorders>
            <w:vAlign w:val="center"/>
            <w:hideMark/>
          </w:tcPr>
          <w:p w14:paraId="785C9B11"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-6,8</w:t>
            </w:r>
          </w:p>
        </w:tc>
        <w:tc>
          <w:tcPr>
            <w:tcW w:w="733" w:type="dxa"/>
            <w:tcBorders>
              <w:top w:val="nil"/>
              <w:left w:val="nil"/>
              <w:bottom w:val="nil"/>
              <w:right w:val="nil"/>
            </w:tcBorders>
            <w:vAlign w:val="center"/>
            <w:hideMark/>
          </w:tcPr>
          <w:p w14:paraId="13B5D948"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13,4</w:t>
            </w:r>
          </w:p>
        </w:tc>
        <w:tc>
          <w:tcPr>
            <w:tcW w:w="1134" w:type="dxa"/>
            <w:gridSpan w:val="2"/>
            <w:tcBorders>
              <w:top w:val="nil"/>
              <w:left w:val="nil"/>
              <w:bottom w:val="nil"/>
              <w:right w:val="nil"/>
            </w:tcBorders>
            <w:vAlign w:val="center"/>
            <w:hideMark/>
          </w:tcPr>
          <w:p w14:paraId="425D6D9B"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1,5</w:t>
            </w:r>
          </w:p>
        </w:tc>
        <w:tc>
          <w:tcPr>
            <w:tcW w:w="1134" w:type="dxa"/>
            <w:gridSpan w:val="2"/>
            <w:tcBorders>
              <w:top w:val="nil"/>
              <w:left w:val="nil"/>
              <w:bottom w:val="nil"/>
              <w:right w:val="nil"/>
            </w:tcBorders>
            <w:vAlign w:val="center"/>
            <w:hideMark/>
          </w:tcPr>
          <w:p w14:paraId="1542B3F8"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12,7</w:t>
            </w:r>
          </w:p>
        </w:tc>
        <w:tc>
          <w:tcPr>
            <w:tcW w:w="1001" w:type="dxa"/>
            <w:gridSpan w:val="2"/>
            <w:tcBorders>
              <w:top w:val="nil"/>
              <w:left w:val="nil"/>
              <w:bottom w:val="nil"/>
              <w:right w:val="nil"/>
            </w:tcBorders>
            <w:vAlign w:val="center"/>
            <w:hideMark/>
          </w:tcPr>
          <w:p w14:paraId="3AFEF0B5"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-6,6</w:t>
            </w:r>
          </w:p>
        </w:tc>
      </w:tr>
      <w:tr w:rsidR="009620E0" w:rsidRPr="009620E0" w14:paraId="1D434DBF"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0232CFCC" w14:textId="77777777" w:rsidR="00865420" w:rsidRPr="009620E0" w:rsidRDefault="00865420" w:rsidP="00865420">
            <w:pPr>
              <w:rPr>
                <w:rFonts w:ascii="Arial" w:hAnsi="Arial" w:cs="Arial"/>
                <w:sz w:val="20"/>
                <w:szCs w:val="20"/>
              </w:rPr>
            </w:pPr>
            <w:r w:rsidRPr="009620E0">
              <w:rPr>
                <w:rFonts w:ascii="Arial" w:hAnsi="Arial" w:cs="Arial"/>
                <w:sz w:val="20"/>
                <w:szCs w:val="20"/>
              </w:rPr>
              <w:t>Dệt</w:t>
            </w:r>
          </w:p>
        </w:tc>
        <w:tc>
          <w:tcPr>
            <w:tcW w:w="1234" w:type="dxa"/>
            <w:tcBorders>
              <w:top w:val="nil"/>
              <w:left w:val="nil"/>
              <w:bottom w:val="nil"/>
              <w:right w:val="nil"/>
            </w:tcBorders>
            <w:vAlign w:val="center"/>
            <w:hideMark/>
          </w:tcPr>
          <w:p w14:paraId="725A834C"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6,6</w:t>
            </w:r>
          </w:p>
        </w:tc>
        <w:tc>
          <w:tcPr>
            <w:tcW w:w="733" w:type="dxa"/>
            <w:tcBorders>
              <w:top w:val="nil"/>
              <w:left w:val="nil"/>
              <w:bottom w:val="nil"/>
              <w:right w:val="nil"/>
            </w:tcBorders>
            <w:vAlign w:val="center"/>
            <w:hideMark/>
          </w:tcPr>
          <w:p w14:paraId="156BF1AD"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5,0</w:t>
            </w:r>
          </w:p>
        </w:tc>
        <w:tc>
          <w:tcPr>
            <w:tcW w:w="1134" w:type="dxa"/>
            <w:gridSpan w:val="2"/>
            <w:tcBorders>
              <w:top w:val="nil"/>
              <w:left w:val="nil"/>
              <w:bottom w:val="nil"/>
              <w:right w:val="nil"/>
            </w:tcBorders>
            <w:vAlign w:val="center"/>
            <w:hideMark/>
          </w:tcPr>
          <w:p w14:paraId="69233603"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5,3</w:t>
            </w:r>
          </w:p>
        </w:tc>
        <w:tc>
          <w:tcPr>
            <w:tcW w:w="1134" w:type="dxa"/>
            <w:gridSpan w:val="2"/>
            <w:tcBorders>
              <w:top w:val="nil"/>
              <w:left w:val="nil"/>
              <w:bottom w:val="nil"/>
              <w:right w:val="nil"/>
            </w:tcBorders>
            <w:vAlign w:val="center"/>
            <w:hideMark/>
          </w:tcPr>
          <w:p w14:paraId="06DC0BD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-9,9</w:t>
            </w:r>
          </w:p>
        </w:tc>
        <w:tc>
          <w:tcPr>
            <w:tcW w:w="1001" w:type="dxa"/>
            <w:gridSpan w:val="2"/>
            <w:tcBorders>
              <w:top w:val="nil"/>
              <w:left w:val="nil"/>
              <w:bottom w:val="nil"/>
              <w:right w:val="nil"/>
            </w:tcBorders>
            <w:vAlign w:val="center"/>
            <w:hideMark/>
          </w:tcPr>
          <w:p w14:paraId="42BE655C"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17,6</w:t>
            </w:r>
          </w:p>
        </w:tc>
      </w:tr>
      <w:tr w:rsidR="009620E0" w:rsidRPr="009620E0" w14:paraId="61A2FF97"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3A0A4B44" w14:textId="376D781A" w:rsidR="00865420" w:rsidRPr="009620E0" w:rsidRDefault="00865420" w:rsidP="00865420">
            <w:pPr>
              <w:rPr>
                <w:rFonts w:ascii="Arial" w:hAnsi="Arial" w:cs="Arial"/>
                <w:sz w:val="20"/>
                <w:szCs w:val="20"/>
              </w:rPr>
            </w:pPr>
            <w:r w:rsidRPr="009620E0">
              <w:rPr>
                <w:rFonts w:ascii="Arial" w:hAnsi="Arial" w:cs="Arial"/>
                <w:sz w:val="20"/>
                <w:szCs w:val="20"/>
              </w:rPr>
              <w:t xml:space="preserve">Sản xuất than cốc, sản phẩm dầu mỏ </w:t>
            </w:r>
            <w:r w:rsidR="000E1182" w:rsidRPr="009620E0">
              <w:rPr>
                <w:rFonts w:ascii="Arial" w:hAnsi="Arial" w:cs="Arial"/>
                <w:sz w:val="20"/>
                <w:szCs w:val="20"/>
              </w:rPr>
              <w:br/>
            </w:r>
            <w:r w:rsidRPr="009620E0">
              <w:rPr>
                <w:rFonts w:ascii="Arial" w:hAnsi="Arial" w:cs="Arial"/>
                <w:sz w:val="20"/>
                <w:szCs w:val="20"/>
              </w:rPr>
              <w:t>tinh chế</w:t>
            </w:r>
          </w:p>
        </w:tc>
        <w:tc>
          <w:tcPr>
            <w:tcW w:w="1234" w:type="dxa"/>
            <w:tcBorders>
              <w:top w:val="nil"/>
              <w:left w:val="nil"/>
              <w:bottom w:val="nil"/>
              <w:right w:val="nil"/>
            </w:tcBorders>
            <w:vAlign w:val="center"/>
            <w:hideMark/>
          </w:tcPr>
          <w:p w14:paraId="37F62FFE"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10,8</w:t>
            </w:r>
          </w:p>
        </w:tc>
        <w:tc>
          <w:tcPr>
            <w:tcW w:w="733" w:type="dxa"/>
            <w:tcBorders>
              <w:top w:val="nil"/>
              <w:left w:val="nil"/>
              <w:bottom w:val="nil"/>
              <w:right w:val="nil"/>
            </w:tcBorders>
            <w:vAlign w:val="center"/>
            <w:hideMark/>
          </w:tcPr>
          <w:p w14:paraId="7A9BF74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-3,7</w:t>
            </w:r>
          </w:p>
        </w:tc>
        <w:tc>
          <w:tcPr>
            <w:tcW w:w="1134" w:type="dxa"/>
            <w:gridSpan w:val="2"/>
            <w:tcBorders>
              <w:top w:val="nil"/>
              <w:left w:val="nil"/>
              <w:bottom w:val="nil"/>
              <w:right w:val="nil"/>
            </w:tcBorders>
            <w:vAlign w:val="center"/>
            <w:hideMark/>
          </w:tcPr>
          <w:p w14:paraId="4C69DD4B"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-12,7</w:t>
            </w:r>
          </w:p>
        </w:tc>
        <w:tc>
          <w:tcPr>
            <w:tcW w:w="1134" w:type="dxa"/>
            <w:gridSpan w:val="2"/>
            <w:tcBorders>
              <w:top w:val="nil"/>
              <w:left w:val="nil"/>
              <w:bottom w:val="nil"/>
              <w:right w:val="nil"/>
            </w:tcBorders>
            <w:vAlign w:val="center"/>
            <w:hideMark/>
          </w:tcPr>
          <w:p w14:paraId="145B6E2D"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21,6</w:t>
            </w:r>
          </w:p>
        </w:tc>
        <w:tc>
          <w:tcPr>
            <w:tcW w:w="1001" w:type="dxa"/>
            <w:gridSpan w:val="2"/>
            <w:tcBorders>
              <w:top w:val="nil"/>
              <w:left w:val="nil"/>
              <w:bottom w:val="nil"/>
              <w:right w:val="nil"/>
            </w:tcBorders>
            <w:vAlign w:val="center"/>
            <w:hideMark/>
          </w:tcPr>
          <w:p w14:paraId="129E655B"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25,3</w:t>
            </w:r>
          </w:p>
        </w:tc>
      </w:tr>
      <w:tr w:rsidR="009620E0" w:rsidRPr="009620E0" w14:paraId="533E1933"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45343226"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hoá chất và sản phẩm hoá chất</w:t>
            </w:r>
          </w:p>
        </w:tc>
        <w:tc>
          <w:tcPr>
            <w:tcW w:w="1234" w:type="dxa"/>
            <w:tcBorders>
              <w:top w:val="nil"/>
              <w:left w:val="nil"/>
              <w:bottom w:val="nil"/>
              <w:right w:val="nil"/>
            </w:tcBorders>
            <w:vAlign w:val="center"/>
            <w:hideMark/>
          </w:tcPr>
          <w:p w14:paraId="7E74C407"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4,1</w:t>
            </w:r>
          </w:p>
        </w:tc>
        <w:tc>
          <w:tcPr>
            <w:tcW w:w="733" w:type="dxa"/>
            <w:tcBorders>
              <w:top w:val="nil"/>
              <w:left w:val="nil"/>
              <w:bottom w:val="nil"/>
              <w:right w:val="nil"/>
            </w:tcBorders>
            <w:vAlign w:val="center"/>
            <w:hideMark/>
          </w:tcPr>
          <w:p w14:paraId="609133C8"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5,1</w:t>
            </w:r>
          </w:p>
        </w:tc>
        <w:tc>
          <w:tcPr>
            <w:tcW w:w="1134" w:type="dxa"/>
            <w:gridSpan w:val="2"/>
            <w:tcBorders>
              <w:top w:val="nil"/>
              <w:left w:val="nil"/>
              <w:bottom w:val="nil"/>
              <w:right w:val="nil"/>
            </w:tcBorders>
            <w:vAlign w:val="center"/>
            <w:hideMark/>
          </w:tcPr>
          <w:p w14:paraId="3D7C6795"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-0,3</w:t>
            </w:r>
          </w:p>
        </w:tc>
        <w:tc>
          <w:tcPr>
            <w:tcW w:w="1134" w:type="dxa"/>
            <w:gridSpan w:val="2"/>
            <w:tcBorders>
              <w:top w:val="nil"/>
              <w:left w:val="nil"/>
              <w:bottom w:val="nil"/>
              <w:right w:val="nil"/>
            </w:tcBorders>
            <w:vAlign w:val="center"/>
            <w:hideMark/>
          </w:tcPr>
          <w:p w14:paraId="689E967E"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-2,0</w:t>
            </w:r>
          </w:p>
        </w:tc>
        <w:tc>
          <w:tcPr>
            <w:tcW w:w="1001" w:type="dxa"/>
            <w:gridSpan w:val="2"/>
            <w:tcBorders>
              <w:top w:val="nil"/>
              <w:left w:val="nil"/>
              <w:bottom w:val="nil"/>
              <w:right w:val="nil"/>
            </w:tcBorders>
            <w:vAlign w:val="center"/>
            <w:hideMark/>
          </w:tcPr>
          <w:p w14:paraId="27005809"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27,7</w:t>
            </w:r>
          </w:p>
        </w:tc>
      </w:tr>
      <w:tr w:rsidR="009620E0" w:rsidRPr="009620E0" w14:paraId="53B7C9F3"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1059A1C1"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thuốc, hoá dược và dược liệu</w:t>
            </w:r>
          </w:p>
        </w:tc>
        <w:tc>
          <w:tcPr>
            <w:tcW w:w="1234" w:type="dxa"/>
            <w:tcBorders>
              <w:top w:val="nil"/>
              <w:left w:val="nil"/>
              <w:bottom w:val="nil"/>
              <w:right w:val="nil"/>
            </w:tcBorders>
            <w:vAlign w:val="center"/>
            <w:hideMark/>
          </w:tcPr>
          <w:p w14:paraId="599F35FD"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19,8</w:t>
            </w:r>
          </w:p>
        </w:tc>
        <w:tc>
          <w:tcPr>
            <w:tcW w:w="733" w:type="dxa"/>
            <w:tcBorders>
              <w:top w:val="nil"/>
              <w:left w:val="nil"/>
              <w:bottom w:val="nil"/>
              <w:right w:val="nil"/>
            </w:tcBorders>
            <w:vAlign w:val="center"/>
            <w:hideMark/>
          </w:tcPr>
          <w:p w14:paraId="4BE712AF"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4,9</w:t>
            </w:r>
          </w:p>
        </w:tc>
        <w:tc>
          <w:tcPr>
            <w:tcW w:w="1134" w:type="dxa"/>
            <w:gridSpan w:val="2"/>
            <w:tcBorders>
              <w:top w:val="nil"/>
              <w:left w:val="nil"/>
              <w:bottom w:val="nil"/>
              <w:right w:val="nil"/>
            </w:tcBorders>
            <w:vAlign w:val="center"/>
            <w:hideMark/>
          </w:tcPr>
          <w:p w14:paraId="7AC4B35D"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5,0</w:t>
            </w:r>
          </w:p>
        </w:tc>
        <w:tc>
          <w:tcPr>
            <w:tcW w:w="1134" w:type="dxa"/>
            <w:gridSpan w:val="2"/>
            <w:tcBorders>
              <w:top w:val="nil"/>
              <w:left w:val="nil"/>
              <w:bottom w:val="nil"/>
              <w:right w:val="nil"/>
            </w:tcBorders>
            <w:vAlign w:val="center"/>
            <w:hideMark/>
          </w:tcPr>
          <w:p w14:paraId="6721F749"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6,5</w:t>
            </w:r>
          </w:p>
        </w:tc>
        <w:tc>
          <w:tcPr>
            <w:tcW w:w="1001" w:type="dxa"/>
            <w:gridSpan w:val="2"/>
            <w:tcBorders>
              <w:top w:val="nil"/>
              <w:left w:val="nil"/>
              <w:bottom w:val="nil"/>
              <w:right w:val="nil"/>
            </w:tcBorders>
            <w:vAlign w:val="center"/>
            <w:hideMark/>
          </w:tcPr>
          <w:p w14:paraId="1D18992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23,2</w:t>
            </w:r>
          </w:p>
        </w:tc>
      </w:tr>
      <w:tr w:rsidR="009620E0" w:rsidRPr="009620E0" w14:paraId="0BC81DDC"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4CCB613E"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sản phẩm từ cao su và plastic</w:t>
            </w:r>
          </w:p>
        </w:tc>
        <w:tc>
          <w:tcPr>
            <w:tcW w:w="1234" w:type="dxa"/>
            <w:tcBorders>
              <w:top w:val="nil"/>
              <w:left w:val="nil"/>
              <w:bottom w:val="nil"/>
              <w:right w:val="nil"/>
            </w:tcBorders>
            <w:vAlign w:val="center"/>
            <w:hideMark/>
          </w:tcPr>
          <w:p w14:paraId="315E6BEE"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3,8</w:t>
            </w:r>
          </w:p>
        </w:tc>
        <w:tc>
          <w:tcPr>
            <w:tcW w:w="733" w:type="dxa"/>
            <w:tcBorders>
              <w:top w:val="nil"/>
              <w:left w:val="nil"/>
              <w:bottom w:val="nil"/>
              <w:right w:val="nil"/>
            </w:tcBorders>
            <w:vAlign w:val="center"/>
            <w:hideMark/>
          </w:tcPr>
          <w:p w14:paraId="0E5F4C3A"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7,6</w:t>
            </w:r>
          </w:p>
        </w:tc>
        <w:tc>
          <w:tcPr>
            <w:tcW w:w="1134" w:type="dxa"/>
            <w:gridSpan w:val="2"/>
            <w:tcBorders>
              <w:top w:val="nil"/>
              <w:left w:val="nil"/>
              <w:bottom w:val="nil"/>
              <w:right w:val="nil"/>
            </w:tcBorders>
            <w:vAlign w:val="center"/>
            <w:hideMark/>
          </w:tcPr>
          <w:p w14:paraId="78FBFA79"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-16,5</w:t>
            </w:r>
          </w:p>
        </w:tc>
        <w:tc>
          <w:tcPr>
            <w:tcW w:w="1134" w:type="dxa"/>
            <w:gridSpan w:val="2"/>
            <w:tcBorders>
              <w:top w:val="nil"/>
              <w:left w:val="nil"/>
              <w:bottom w:val="nil"/>
              <w:right w:val="nil"/>
            </w:tcBorders>
            <w:vAlign w:val="center"/>
            <w:hideMark/>
          </w:tcPr>
          <w:p w14:paraId="75C4F701"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9,6</w:t>
            </w:r>
          </w:p>
        </w:tc>
        <w:tc>
          <w:tcPr>
            <w:tcW w:w="1001" w:type="dxa"/>
            <w:gridSpan w:val="2"/>
            <w:tcBorders>
              <w:top w:val="nil"/>
              <w:left w:val="nil"/>
              <w:bottom w:val="nil"/>
              <w:right w:val="nil"/>
            </w:tcBorders>
            <w:vAlign w:val="center"/>
            <w:hideMark/>
          </w:tcPr>
          <w:p w14:paraId="2044D5BB"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24,3</w:t>
            </w:r>
          </w:p>
        </w:tc>
      </w:tr>
      <w:tr w:rsidR="009620E0" w:rsidRPr="009620E0" w14:paraId="13D1D17C"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172E39DF" w14:textId="7DA54F57" w:rsidR="00865420" w:rsidRPr="009620E0" w:rsidRDefault="00865420" w:rsidP="00865420">
            <w:pPr>
              <w:rPr>
                <w:rFonts w:ascii="Arial" w:hAnsi="Arial" w:cs="Arial"/>
                <w:sz w:val="20"/>
                <w:szCs w:val="20"/>
              </w:rPr>
            </w:pPr>
            <w:r w:rsidRPr="009620E0">
              <w:rPr>
                <w:rFonts w:ascii="Arial" w:hAnsi="Arial" w:cs="Arial"/>
                <w:sz w:val="20"/>
                <w:szCs w:val="20"/>
              </w:rPr>
              <w:t xml:space="preserve">Sản xuất sản phẩm từ khoáng </w:t>
            </w:r>
            <w:r w:rsidR="000E1182" w:rsidRPr="009620E0">
              <w:rPr>
                <w:rFonts w:ascii="Arial" w:hAnsi="Arial" w:cs="Arial"/>
                <w:sz w:val="20"/>
                <w:szCs w:val="20"/>
              </w:rPr>
              <w:br/>
            </w:r>
            <w:r w:rsidRPr="009620E0">
              <w:rPr>
                <w:rFonts w:ascii="Arial" w:hAnsi="Arial" w:cs="Arial"/>
                <w:sz w:val="20"/>
                <w:szCs w:val="20"/>
              </w:rPr>
              <w:t>phi kim loại khác</w:t>
            </w:r>
          </w:p>
        </w:tc>
        <w:tc>
          <w:tcPr>
            <w:tcW w:w="1234" w:type="dxa"/>
            <w:tcBorders>
              <w:top w:val="nil"/>
              <w:left w:val="nil"/>
              <w:bottom w:val="nil"/>
              <w:right w:val="nil"/>
            </w:tcBorders>
            <w:vAlign w:val="center"/>
            <w:hideMark/>
          </w:tcPr>
          <w:p w14:paraId="636ED549"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-0,2</w:t>
            </w:r>
          </w:p>
        </w:tc>
        <w:tc>
          <w:tcPr>
            <w:tcW w:w="733" w:type="dxa"/>
            <w:tcBorders>
              <w:top w:val="nil"/>
              <w:left w:val="nil"/>
              <w:bottom w:val="nil"/>
              <w:right w:val="nil"/>
            </w:tcBorders>
            <w:vAlign w:val="center"/>
            <w:hideMark/>
          </w:tcPr>
          <w:p w14:paraId="2DF930FB"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7,7</w:t>
            </w:r>
          </w:p>
        </w:tc>
        <w:tc>
          <w:tcPr>
            <w:tcW w:w="1134" w:type="dxa"/>
            <w:gridSpan w:val="2"/>
            <w:tcBorders>
              <w:top w:val="nil"/>
              <w:left w:val="nil"/>
              <w:bottom w:val="nil"/>
              <w:right w:val="nil"/>
            </w:tcBorders>
            <w:vAlign w:val="center"/>
            <w:hideMark/>
          </w:tcPr>
          <w:p w14:paraId="4BD8D065"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8,4</w:t>
            </w:r>
          </w:p>
        </w:tc>
        <w:tc>
          <w:tcPr>
            <w:tcW w:w="1134" w:type="dxa"/>
            <w:gridSpan w:val="2"/>
            <w:tcBorders>
              <w:top w:val="nil"/>
              <w:left w:val="nil"/>
              <w:bottom w:val="nil"/>
              <w:right w:val="nil"/>
            </w:tcBorders>
            <w:vAlign w:val="center"/>
            <w:hideMark/>
          </w:tcPr>
          <w:p w14:paraId="57BF89E8"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-10,7</w:t>
            </w:r>
          </w:p>
        </w:tc>
        <w:tc>
          <w:tcPr>
            <w:tcW w:w="1001" w:type="dxa"/>
            <w:gridSpan w:val="2"/>
            <w:tcBorders>
              <w:top w:val="nil"/>
              <w:left w:val="nil"/>
              <w:bottom w:val="nil"/>
              <w:right w:val="nil"/>
            </w:tcBorders>
            <w:vAlign w:val="center"/>
            <w:hideMark/>
          </w:tcPr>
          <w:p w14:paraId="6A1A739A"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0,6</w:t>
            </w:r>
          </w:p>
        </w:tc>
      </w:tr>
      <w:tr w:rsidR="009620E0" w:rsidRPr="009620E0" w14:paraId="3F9C04B7"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735E4328" w14:textId="49E1AAE6" w:rsidR="00865420" w:rsidRPr="009620E0" w:rsidRDefault="00865420" w:rsidP="00865420">
            <w:pPr>
              <w:rPr>
                <w:rFonts w:ascii="Arial" w:hAnsi="Arial" w:cs="Arial"/>
                <w:sz w:val="20"/>
                <w:szCs w:val="20"/>
              </w:rPr>
            </w:pPr>
            <w:r w:rsidRPr="009620E0">
              <w:rPr>
                <w:rFonts w:ascii="Arial" w:hAnsi="Arial" w:cs="Arial"/>
                <w:sz w:val="20"/>
                <w:szCs w:val="20"/>
              </w:rPr>
              <w:t xml:space="preserve">Sản xuất sản phẩm điện tử, máy vi tính </w:t>
            </w:r>
            <w:r w:rsidR="000E1182" w:rsidRPr="009620E0">
              <w:rPr>
                <w:rFonts w:ascii="Arial" w:hAnsi="Arial" w:cs="Arial"/>
                <w:sz w:val="20"/>
                <w:szCs w:val="20"/>
              </w:rPr>
              <w:br/>
            </w:r>
            <w:r w:rsidRPr="009620E0">
              <w:rPr>
                <w:rFonts w:ascii="Arial" w:hAnsi="Arial" w:cs="Arial"/>
                <w:sz w:val="20"/>
                <w:szCs w:val="20"/>
              </w:rPr>
              <w:t>và sản phẩm quang học</w:t>
            </w:r>
          </w:p>
        </w:tc>
        <w:tc>
          <w:tcPr>
            <w:tcW w:w="1234" w:type="dxa"/>
            <w:tcBorders>
              <w:top w:val="nil"/>
              <w:left w:val="nil"/>
              <w:bottom w:val="nil"/>
              <w:right w:val="nil"/>
            </w:tcBorders>
            <w:vAlign w:val="center"/>
            <w:hideMark/>
          </w:tcPr>
          <w:p w14:paraId="02434FD1"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12,4</w:t>
            </w:r>
          </w:p>
        </w:tc>
        <w:tc>
          <w:tcPr>
            <w:tcW w:w="733" w:type="dxa"/>
            <w:tcBorders>
              <w:top w:val="nil"/>
              <w:left w:val="nil"/>
              <w:bottom w:val="nil"/>
              <w:right w:val="nil"/>
            </w:tcBorders>
            <w:vAlign w:val="center"/>
            <w:hideMark/>
          </w:tcPr>
          <w:p w14:paraId="6B59C92F"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17,9</w:t>
            </w:r>
          </w:p>
        </w:tc>
        <w:tc>
          <w:tcPr>
            <w:tcW w:w="1134" w:type="dxa"/>
            <w:gridSpan w:val="2"/>
            <w:tcBorders>
              <w:top w:val="nil"/>
              <w:left w:val="nil"/>
              <w:bottom w:val="nil"/>
              <w:right w:val="nil"/>
            </w:tcBorders>
            <w:vAlign w:val="center"/>
            <w:hideMark/>
          </w:tcPr>
          <w:p w14:paraId="6E87FC1F"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4,9</w:t>
            </w:r>
          </w:p>
        </w:tc>
        <w:tc>
          <w:tcPr>
            <w:tcW w:w="1134" w:type="dxa"/>
            <w:gridSpan w:val="2"/>
            <w:tcBorders>
              <w:top w:val="nil"/>
              <w:left w:val="nil"/>
              <w:bottom w:val="nil"/>
              <w:right w:val="nil"/>
            </w:tcBorders>
            <w:vAlign w:val="center"/>
            <w:hideMark/>
          </w:tcPr>
          <w:p w14:paraId="71E01F5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-2,1</w:t>
            </w:r>
          </w:p>
        </w:tc>
        <w:tc>
          <w:tcPr>
            <w:tcW w:w="1001" w:type="dxa"/>
            <w:gridSpan w:val="2"/>
            <w:tcBorders>
              <w:top w:val="nil"/>
              <w:left w:val="nil"/>
              <w:bottom w:val="nil"/>
              <w:right w:val="nil"/>
            </w:tcBorders>
            <w:vAlign w:val="center"/>
            <w:hideMark/>
          </w:tcPr>
          <w:p w14:paraId="3E1ED346"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-2,6</w:t>
            </w:r>
          </w:p>
        </w:tc>
      </w:tr>
      <w:tr w:rsidR="009620E0" w:rsidRPr="009620E0" w14:paraId="1BF76B88"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5F6DA39D"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thiết bị điện</w:t>
            </w:r>
          </w:p>
        </w:tc>
        <w:tc>
          <w:tcPr>
            <w:tcW w:w="1234" w:type="dxa"/>
            <w:tcBorders>
              <w:top w:val="nil"/>
              <w:left w:val="nil"/>
              <w:bottom w:val="nil"/>
              <w:right w:val="nil"/>
            </w:tcBorders>
            <w:vAlign w:val="center"/>
            <w:hideMark/>
          </w:tcPr>
          <w:p w14:paraId="0C2AB4A6"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-2,7</w:t>
            </w:r>
          </w:p>
        </w:tc>
        <w:tc>
          <w:tcPr>
            <w:tcW w:w="733" w:type="dxa"/>
            <w:tcBorders>
              <w:top w:val="nil"/>
              <w:left w:val="nil"/>
              <w:bottom w:val="nil"/>
              <w:right w:val="nil"/>
            </w:tcBorders>
            <w:vAlign w:val="center"/>
            <w:hideMark/>
          </w:tcPr>
          <w:p w14:paraId="5D610C62"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14,3</w:t>
            </w:r>
          </w:p>
        </w:tc>
        <w:tc>
          <w:tcPr>
            <w:tcW w:w="1134" w:type="dxa"/>
            <w:gridSpan w:val="2"/>
            <w:tcBorders>
              <w:top w:val="nil"/>
              <w:left w:val="nil"/>
              <w:bottom w:val="nil"/>
              <w:right w:val="nil"/>
            </w:tcBorders>
            <w:vAlign w:val="center"/>
            <w:hideMark/>
          </w:tcPr>
          <w:p w14:paraId="6F2501C3"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14,4</w:t>
            </w:r>
          </w:p>
        </w:tc>
        <w:tc>
          <w:tcPr>
            <w:tcW w:w="1134" w:type="dxa"/>
            <w:gridSpan w:val="2"/>
            <w:tcBorders>
              <w:top w:val="nil"/>
              <w:left w:val="nil"/>
              <w:bottom w:val="nil"/>
              <w:right w:val="nil"/>
            </w:tcBorders>
            <w:vAlign w:val="center"/>
            <w:hideMark/>
          </w:tcPr>
          <w:p w14:paraId="79C180D6"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-10,7</w:t>
            </w:r>
          </w:p>
        </w:tc>
        <w:tc>
          <w:tcPr>
            <w:tcW w:w="1001" w:type="dxa"/>
            <w:gridSpan w:val="2"/>
            <w:tcBorders>
              <w:top w:val="nil"/>
              <w:left w:val="nil"/>
              <w:bottom w:val="nil"/>
              <w:right w:val="nil"/>
            </w:tcBorders>
            <w:vAlign w:val="center"/>
            <w:hideMark/>
          </w:tcPr>
          <w:p w14:paraId="0F787A45"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22,1</w:t>
            </w:r>
          </w:p>
        </w:tc>
      </w:tr>
      <w:tr w:rsidR="009620E0" w:rsidRPr="009620E0" w14:paraId="2FE2D5F3"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7DE4F84D"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xe có động cơ</w:t>
            </w:r>
          </w:p>
        </w:tc>
        <w:tc>
          <w:tcPr>
            <w:tcW w:w="1234" w:type="dxa"/>
            <w:tcBorders>
              <w:top w:val="nil"/>
              <w:left w:val="nil"/>
              <w:bottom w:val="nil"/>
              <w:right w:val="nil"/>
            </w:tcBorders>
            <w:vAlign w:val="center"/>
            <w:hideMark/>
          </w:tcPr>
          <w:p w14:paraId="54168F2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-5,6</w:t>
            </w:r>
          </w:p>
        </w:tc>
        <w:tc>
          <w:tcPr>
            <w:tcW w:w="733" w:type="dxa"/>
            <w:tcBorders>
              <w:top w:val="nil"/>
              <w:left w:val="nil"/>
              <w:bottom w:val="nil"/>
              <w:right w:val="nil"/>
            </w:tcBorders>
            <w:vAlign w:val="center"/>
            <w:hideMark/>
          </w:tcPr>
          <w:p w14:paraId="007E4AF3"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7,2</w:t>
            </w:r>
          </w:p>
        </w:tc>
        <w:tc>
          <w:tcPr>
            <w:tcW w:w="1134" w:type="dxa"/>
            <w:gridSpan w:val="2"/>
            <w:tcBorders>
              <w:top w:val="nil"/>
              <w:left w:val="nil"/>
              <w:bottom w:val="nil"/>
              <w:right w:val="nil"/>
            </w:tcBorders>
            <w:vAlign w:val="center"/>
            <w:hideMark/>
          </w:tcPr>
          <w:p w14:paraId="080DEADA"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7,0</w:t>
            </w:r>
          </w:p>
        </w:tc>
        <w:tc>
          <w:tcPr>
            <w:tcW w:w="1134" w:type="dxa"/>
            <w:gridSpan w:val="2"/>
            <w:tcBorders>
              <w:top w:val="nil"/>
              <w:left w:val="nil"/>
              <w:bottom w:val="nil"/>
              <w:right w:val="nil"/>
            </w:tcBorders>
            <w:vAlign w:val="center"/>
            <w:hideMark/>
          </w:tcPr>
          <w:p w14:paraId="18F764DF"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-11,8</w:t>
            </w:r>
          </w:p>
        </w:tc>
        <w:tc>
          <w:tcPr>
            <w:tcW w:w="1001" w:type="dxa"/>
            <w:gridSpan w:val="2"/>
            <w:tcBorders>
              <w:top w:val="nil"/>
              <w:left w:val="nil"/>
              <w:bottom w:val="nil"/>
              <w:right w:val="nil"/>
            </w:tcBorders>
            <w:vAlign w:val="center"/>
            <w:hideMark/>
          </w:tcPr>
          <w:p w14:paraId="65E57C6A"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0,9</w:t>
            </w:r>
          </w:p>
        </w:tc>
      </w:tr>
      <w:tr w:rsidR="009620E0" w:rsidRPr="009620E0" w14:paraId="660B4D11" w14:textId="77777777" w:rsidTr="000E1182">
        <w:trPr>
          <w:trHeight w:val="314"/>
          <w:jc w:val="center"/>
        </w:trPr>
        <w:tc>
          <w:tcPr>
            <w:tcW w:w="3987" w:type="dxa"/>
            <w:tcBorders>
              <w:top w:val="nil"/>
              <w:left w:val="nil"/>
              <w:bottom w:val="nil"/>
              <w:right w:val="nil"/>
            </w:tcBorders>
            <w:shd w:val="clear" w:color="auto" w:fill="FFFFFF"/>
            <w:noWrap/>
            <w:vAlign w:val="center"/>
            <w:hideMark/>
          </w:tcPr>
          <w:p w14:paraId="2C368892"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phương tiện vận tải khác</w:t>
            </w:r>
          </w:p>
        </w:tc>
        <w:tc>
          <w:tcPr>
            <w:tcW w:w="1234" w:type="dxa"/>
            <w:tcBorders>
              <w:top w:val="nil"/>
              <w:left w:val="nil"/>
              <w:bottom w:val="nil"/>
              <w:right w:val="nil"/>
            </w:tcBorders>
            <w:vAlign w:val="center"/>
            <w:hideMark/>
          </w:tcPr>
          <w:p w14:paraId="432212D8"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-1,2</w:t>
            </w:r>
          </w:p>
        </w:tc>
        <w:tc>
          <w:tcPr>
            <w:tcW w:w="733" w:type="dxa"/>
            <w:tcBorders>
              <w:top w:val="nil"/>
              <w:left w:val="nil"/>
              <w:bottom w:val="nil"/>
              <w:right w:val="nil"/>
            </w:tcBorders>
            <w:vAlign w:val="center"/>
            <w:hideMark/>
          </w:tcPr>
          <w:p w14:paraId="0D39BF17"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-4,2</w:t>
            </w:r>
          </w:p>
        </w:tc>
        <w:tc>
          <w:tcPr>
            <w:tcW w:w="1134" w:type="dxa"/>
            <w:gridSpan w:val="2"/>
            <w:tcBorders>
              <w:top w:val="nil"/>
              <w:left w:val="nil"/>
              <w:bottom w:val="nil"/>
              <w:right w:val="nil"/>
            </w:tcBorders>
            <w:vAlign w:val="center"/>
            <w:hideMark/>
          </w:tcPr>
          <w:p w14:paraId="7B6487EE"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8,3</w:t>
            </w:r>
          </w:p>
        </w:tc>
        <w:tc>
          <w:tcPr>
            <w:tcW w:w="1134" w:type="dxa"/>
            <w:gridSpan w:val="2"/>
            <w:tcBorders>
              <w:top w:val="nil"/>
              <w:left w:val="nil"/>
              <w:bottom w:val="nil"/>
              <w:right w:val="nil"/>
            </w:tcBorders>
            <w:vAlign w:val="center"/>
            <w:hideMark/>
          </w:tcPr>
          <w:p w14:paraId="5ABFA69A"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-10,0</w:t>
            </w:r>
          </w:p>
        </w:tc>
        <w:tc>
          <w:tcPr>
            <w:tcW w:w="1001" w:type="dxa"/>
            <w:gridSpan w:val="2"/>
            <w:tcBorders>
              <w:top w:val="nil"/>
              <w:left w:val="nil"/>
              <w:bottom w:val="nil"/>
              <w:right w:val="nil"/>
            </w:tcBorders>
            <w:vAlign w:val="center"/>
            <w:hideMark/>
          </w:tcPr>
          <w:p w14:paraId="05674694"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-0,8</w:t>
            </w:r>
          </w:p>
        </w:tc>
      </w:tr>
      <w:tr w:rsidR="009620E0" w:rsidRPr="009620E0" w14:paraId="45FDB105" w14:textId="77777777" w:rsidTr="002B32A3">
        <w:trPr>
          <w:trHeight w:val="314"/>
          <w:jc w:val="center"/>
        </w:trPr>
        <w:tc>
          <w:tcPr>
            <w:tcW w:w="3987" w:type="dxa"/>
            <w:tcBorders>
              <w:top w:val="nil"/>
              <w:left w:val="nil"/>
              <w:bottom w:val="nil"/>
              <w:right w:val="nil"/>
            </w:tcBorders>
            <w:shd w:val="clear" w:color="auto" w:fill="FFFFFF"/>
            <w:noWrap/>
            <w:vAlign w:val="center"/>
            <w:hideMark/>
          </w:tcPr>
          <w:p w14:paraId="5A9872F2" w14:textId="77777777" w:rsidR="00865420" w:rsidRPr="009620E0" w:rsidRDefault="00865420" w:rsidP="00865420">
            <w:pPr>
              <w:rPr>
                <w:rFonts w:ascii="Arial" w:hAnsi="Arial" w:cs="Arial"/>
                <w:sz w:val="20"/>
                <w:szCs w:val="20"/>
              </w:rPr>
            </w:pPr>
            <w:r w:rsidRPr="009620E0">
              <w:rPr>
                <w:rFonts w:ascii="Arial" w:hAnsi="Arial" w:cs="Arial"/>
                <w:sz w:val="20"/>
                <w:szCs w:val="20"/>
              </w:rPr>
              <w:t>Sản xuất giường, tủ, bàn, ghế</w:t>
            </w:r>
          </w:p>
        </w:tc>
        <w:tc>
          <w:tcPr>
            <w:tcW w:w="1234" w:type="dxa"/>
            <w:tcBorders>
              <w:top w:val="nil"/>
              <w:left w:val="nil"/>
              <w:bottom w:val="nil"/>
              <w:right w:val="nil"/>
            </w:tcBorders>
            <w:vAlign w:val="center"/>
            <w:hideMark/>
          </w:tcPr>
          <w:p w14:paraId="257E8BBA"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5,5</w:t>
            </w:r>
          </w:p>
        </w:tc>
        <w:tc>
          <w:tcPr>
            <w:tcW w:w="733" w:type="dxa"/>
            <w:tcBorders>
              <w:top w:val="nil"/>
              <w:left w:val="nil"/>
              <w:bottom w:val="nil"/>
              <w:right w:val="nil"/>
            </w:tcBorders>
            <w:vAlign w:val="center"/>
            <w:hideMark/>
          </w:tcPr>
          <w:p w14:paraId="02C321EF"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11,3</w:t>
            </w:r>
          </w:p>
        </w:tc>
        <w:tc>
          <w:tcPr>
            <w:tcW w:w="1134" w:type="dxa"/>
            <w:gridSpan w:val="2"/>
            <w:tcBorders>
              <w:top w:val="nil"/>
              <w:left w:val="nil"/>
              <w:bottom w:val="nil"/>
              <w:right w:val="nil"/>
            </w:tcBorders>
            <w:vAlign w:val="center"/>
            <w:hideMark/>
          </w:tcPr>
          <w:p w14:paraId="12F98C9E"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1,5</w:t>
            </w:r>
          </w:p>
        </w:tc>
        <w:tc>
          <w:tcPr>
            <w:tcW w:w="1134" w:type="dxa"/>
            <w:gridSpan w:val="2"/>
            <w:tcBorders>
              <w:top w:val="nil"/>
              <w:left w:val="nil"/>
              <w:bottom w:val="nil"/>
              <w:right w:val="nil"/>
            </w:tcBorders>
            <w:vAlign w:val="center"/>
            <w:hideMark/>
          </w:tcPr>
          <w:p w14:paraId="0A94451F"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-9,0</w:t>
            </w:r>
          </w:p>
        </w:tc>
        <w:tc>
          <w:tcPr>
            <w:tcW w:w="1001" w:type="dxa"/>
            <w:gridSpan w:val="2"/>
            <w:tcBorders>
              <w:top w:val="nil"/>
              <w:left w:val="nil"/>
              <w:bottom w:val="nil"/>
              <w:right w:val="nil"/>
            </w:tcBorders>
            <w:vAlign w:val="center"/>
            <w:hideMark/>
          </w:tcPr>
          <w:p w14:paraId="752C77D2" w14:textId="77777777" w:rsidR="00865420" w:rsidRPr="009620E0" w:rsidRDefault="00865420" w:rsidP="00865420">
            <w:pPr>
              <w:jc w:val="right"/>
              <w:rPr>
                <w:rFonts w:ascii="Arial" w:hAnsi="Arial" w:cs="Arial"/>
                <w:sz w:val="20"/>
                <w:szCs w:val="20"/>
              </w:rPr>
            </w:pPr>
            <w:r w:rsidRPr="009620E0">
              <w:rPr>
                <w:rFonts w:ascii="Arial" w:hAnsi="Arial" w:cs="Arial"/>
                <w:sz w:val="20"/>
                <w:szCs w:val="20"/>
              </w:rPr>
              <w:t>23,4</w:t>
            </w:r>
          </w:p>
        </w:tc>
      </w:tr>
      <w:tr w:rsidR="009620E0" w:rsidRPr="009620E0" w14:paraId="374D27E2" w14:textId="77777777" w:rsidTr="000E1182">
        <w:trPr>
          <w:trHeight w:val="314"/>
          <w:jc w:val="center"/>
        </w:trPr>
        <w:tc>
          <w:tcPr>
            <w:tcW w:w="3987" w:type="dxa"/>
            <w:tcBorders>
              <w:top w:val="nil"/>
              <w:left w:val="nil"/>
              <w:bottom w:val="single" w:sz="4" w:space="0" w:color="auto"/>
              <w:right w:val="nil"/>
            </w:tcBorders>
            <w:shd w:val="clear" w:color="auto" w:fill="FFFFFF"/>
            <w:noWrap/>
            <w:vAlign w:val="center"/>
          </w:tcPr>
          <w:p w14:paraId="260CC05A" w14:textId="2569D55B" w:rsidR="002B32A3" w:rsidRPr="009620E0" w:rsidRDefault="002B32A3" w:rsidP="00865420">
            <w:pPr>
              <w:rPr>
                <w:rFonts w:ascii="Arial" w:hAnsi="Arial" w:cs="Arial"/>
                <w:sz w:val="20"/>
                <w:szCs w:val="20"/>
              </w:rPr>
            </w:pPr>
            <w:r w:rsidRPr="009620E0">
              <w:rPr>
                <w:rFonts w:ascii="Arial" w:hAnsi="Arial" w:cs="Arial"/>
                <w:sz w:val="20"/>
                <w:szCs w:val="20"/>
              </w:rPr>
              <w:t>Sửa chữa, bảo dưỡng và lắp đặt máy móc thiết bị</w:t>
            </w:r>
          </w:p>
        </w:tc>
        <w:tc>
          <w:tcPr>
            <w:tcW w:w="1234" w:type="dxa"/>
            <w:tcBorders>
              <w:top w:val="nil"/>
              <w:left w:val="nil"/>
              <w:bottom w:val="single" w:sz="4" w:space="0" w:color="auto"/>
              <w:right w:val="nil"/>
            </w:tcBorders>
            <w:vAlign w:val="center"/>
          </w:tcPr>
          <w:p w14:paraId="523C1316" w14:textId="59AFA71A" w:rsidR="002B32A3" w:rsidRPr="009620E0" w:rsidRDefault="002B32A3" w:rsidP="00865420">
            <w:pPr>
              <w:jc w:val="right"/>
              <w:rPr>
                <w:rFonts w:ascii="Arial" w:hAnsi="Arial" w:cs="Arial"/>
                <w:sz w:val="20"/>
                <w:szCs w:val="20"/>
              </w:rPr>
            </w:pPr>
            <w:r w:rsidRPr="009620E0">
              <w:rPr>
                <w:rFonts w:ascii="Arial" w:hAnsi="Arial" w:cs="Arial"/>
                <w:sz w:val="20"/>
                <w:szCs w:val="20"/>
              </w:rPr>
              <w:t>-4,1</w:t>
            </w:r>
          </w:p>
        </w:tc>
        <w:tc>
          <w:tcPr>
            <w:tcW w:w="733" w:type="dxa"/>
            <w:tcBorders>
              <w:top w:val="nil"/>
              <w:left w:val="nil"/>
              <w:bottom w:val="single" w:sz="4" w:space="0" w:color="auto"/>
              <w:right w:val="nil"/>
            </w:tcBorders>
            <w:vAlign w:val="center"/>
          </w:tcPr>
          <w:p w14:paraId="65B51D63" w14:textId="3B9CE788" w:rsidR="002B32A3" w:rsidRPr="009620E0" w:rsidRDefault="002B32A3" w:rsidP="00865420">
            <w:pPr>
              <w:jc w:val="right"/>
              <w:rPr>
                <w:rFonts w:ascii="Arial" w:hAnsi="Arial" w:cs="Arial"/>
                <w:sz w:val="20"/>
                <w:szCs w:val="20"/>
              </w:rPr>
            </w:pPr>
            <w:r w:rsidRPr="009620E0">
              <w:rPr>
                <w:rFonts w:ascii="Arial" w:hAnsi="Arial" w:cs="Arial"/>
                <w:sz w:val="20"/>
                <w:szCs w:val="20"/>
              </w:rPr>
              <w:t>8,8</w:t>
            </w:r>
          </w:p>
        </w:tc>
        <w:tc>
          <w:tcPr>
            <w:tcW w:w="1134" w:type="dxa"/>
            <w:gridSpan w:val="2"/>
            <w:tcBorders>
              <w:top w:val="nil"/>
              <w:left w:val="nil"/>
              <w:bottom w:val="single" w:sz="4" w:space="0" w:color="auto"/>
              <w:right w:val="nil"/>
            </w:tcBorders>
            <w:vAlign w:val="center"/>
          </w:tcPr>
          <w:p w14:paraId="70355C78" w14:textId="3CAA3EDB" w:rsidR="002B32A3" w:rsidRPr="009620E0" w:rsidRDefault="002B32A3" w:rsidP="00865420">
            <w:pPr>
              <w:jc w:val="right"/>
              <w:rPr>
                <w:rFonts w:ascii="Arial" w:hAnsi="Arial" w:cs="Arial"/>
                <w:sz w:val="20"/>
                <w:szCs w:val="20"/>
              </w:rPr>
            </w:pPr>
            <w:r w:rsidRPr="009620E0">
              <w:rPr>
                <w:rFonts w:ascii="Arial" w:hAnsi="Arial" w:cs="Arial"/>
                <w:sz w:val="20"/>
                <w:szCs w:val="20"/>
              </w:rPr>
              <w:t>-17,9</w:t>
            </w:r>
          </w:p>
        </w:tc>
        <w:tc>
          <w:tcPr>
            <w:tcW w:w="1134" w:type="dxa"/>
            <w:gridSpan w:val="2"/>
            <w:tcBorders>
              <w:top w:val="nil"/>
              <w:left w:val="nil"/>
              <w:bottom w:val="single" w:sz="4" w:space="0" w:color="auto"/>
              <w:right w:val="nil"/>
            </w:tcBorders>
            <w:vAlign w:val="center"/>
          </w:tcPr>
          <w:p w14:paraId="4A294AF3" w14:textId="6022036C" w:rsidR="002B32A3" w:rsidRPr="009620E0" w:rsidRDefault="002B32A3" w:rsidP="00865420">
            <w:pPr>
              <w:jc w:val="right"/>
              <w:rPr>
                <w:rFonts w:ascii="Arial" w:hAnsi="Arial" w:cs="Arial"/>
                <w:sz w:val="20"/>
                <w:szCs w:val="20"/>
              </w:rPr>
            </w:pPr>
            <w:r w:rsidRPr="009620E0">
              <w:rPr>
                <w:rFonts w:ascii="Arial" w:hAnsi="Arial" w:cs="Arial"/>
                <w:sz w:val="20"/>
                <w:szCs w:val="20"/>
              </w:rPr>
              <w:t>7,7</w:t>
            </w:r>
          </w:p>
        </w:tc>
        <w:tc>
          <w:tcPr>
            <w:tcW w:w="1001" w:type="dxa"/>
            <w:gridSpan w:val="2"/>
            <w:tcBorders>
              <w:top w:val="nil"/>
              <w:left w:val="nil"/>
              <w:bottom w:val="single" w:sz="4" w:space="0" w:color="auto"/>
              <w:right w:val="nil"/>
            </w:tcBorders>
            <w:vAlign w:val="center"/>
          </w:tcPr>
          <w:p w14:paraId="2D2D20B9" w14:textId="5E0E7876" w:rsidR="002B32A3" w:rsidRPr="009620E0" w:rsidRDefault="002B32A3" w:rsidP="00865420">
            <w:pPr>
              <w:jc w:val="right"/>
              <w:rPr>
                <w:rFonts w:ascii="Arial" w:hAnsi="Arial" w:cs="Arial"/>
                <w:sz w:val="20"/>
                <w:szCs w:val="20"/>
              </w:rPr>
            </w:pPr>
            <w:r w:rsidRPr="009620E0">
              <w:rPr>
                <w:rFonts w:ascii="Arial" w:hAnsi="Arial" w:cs="Arial"/>
                <w:sz w:val="20"/>
                <w:szCs w:val="20"/>
              </w:rPr>
              <w:t>-21,8</w:t>
            </w:r>
          </w:p>
        </w:tc>
      </w:tr>
    </w:tbl>
    <w:p w14:paraId="307CDEDD" w14:textId="77777777" w:rsidR="00865420" w:rsidRPr="009620E0" w:rsidRDefault="00865420" w:rsidP="00865420">
      <w:pPr>
        <w:shd w:val="clear" w:color="auto" w:fill="FFFFFF"/>
        <w:tabs>
          <w:tab w:val="left" w:pos="8931"/>
        </w:tabs>
        <w:spacing w:before="60"/>
        <w:jc w:val="right"/>
        <w:rPr>
          <w:rFonts w:ascii="Arial" w:hAnsi="Arial" w:cs="Arial"/>
          <w:spacing w:val="-2"/>
          <w:sz w:val="10"/>
          <w:szCs w:val="10"/>
          <w:lang w:val="pl-PL"/>
        </w:rPr>
      </w:pPr>
    </w:p>
    <w:p w14:paraId="417E9A27" w14:textId="0FD1043A" w:rsidR="00865420" w:rsidRPr="009620E0" w:rsidRDefault="00865420" w:rsidP="00865420">
      <w:pPr>
        <w:shd w:val="clear" w:color="auto" w:fill="FFFFFF"/>
        <w:spacing w:before="40" w:after="40" w:line="264" w:lineRule="auto"/>
        <w:ind w:firstLine="567"/>
        <w:jc w:val="both"/>
        <w:rPr>
          <w:lang w:val="pl-PL"/>
        </w:rPr>
      </w:pPr>
      <w:r w:rsidRPr="009620E0">
        <w:rPr>
          <w:lang w:val="pl-PL"/>
        </w:rPr>
        <w:t xml:space="preserve">Chỉ số sản xuất công nghiệp </w:t>
      </w:r>
      <w:r w:rsidR="007C547D" w:rsidRPr="009620E0">
        <w:rPr>
          <w:lang w:val="pl-PL"/>
        </w:rPr>
        <w:t>2</w:t>
      </w:r>
      <w:r w:rsidRPr="009620E0">
        <w:rPr>
          <w:lang w:val="vi-VN"/>
        </w:rPr>
        <w:t xml:space="preserve"> tháng đầu năm 202</w:t>
      </w:r>
      <w:r w:rsidRPr="009620E0">
        <w:rPr>
          <w:lang w:val="pl-PL"/>
        </w:rPr>
        <w:t>4</w:t>
      </w:r>
      <w:r w:rsidRPr="009620E0">
        <w:rPr>
          <w:i/>
          <w:lang w:val="pl-PL"/>
        </w:rPr>
        <w:t xml:space="preserve"> </w:t>
      </w:r>
      <w:r w:rsidRPr="009620E0">
        <w:rPr>
          <w:lang w:val="pl-PL"/>
        </w:rPr>
        <w:t>so với cùng kỳ năm trước tăng ở 56 địa phương và giảm ở 7 địa phương trên cả nước. Một số địa phương có chỉ số IIP đạt mức tăng khá cao do ngành công nghiệp chế biến, chế tạo; ngành sản xuất và phân phối điện tăng cao</w:t>
      </w:r>
      <w:r w:rsidRPr="009620E0">
        <w:rPr>
          <w:rStyle w:val="FootnoteReference"/>
          <w:lang w:val="pl-PL"/>
        </w:rPr>
        <w:footnoteReference w:id="5"/>
      </w:r>
      <w:r w:rsidRPr="009620E0">
        <w:rPr>
          <w:lang w:val="pl-PL"/>
        </w:rPr>
        <w:t xml:space="preserve">. Ở chiều ngược lại, một số địa </w:t>
      </w:r>
      <w:r w:rsidRPr="009620E0">
        <w:rPr>
          <w:lang w:val="pl-PL"/>
        </w:rPr>
        <w:lastRenderedPageBreak/>
        <w:t>phương có chỉ số IIP tăng thấp hoặc giảm do ngành công nghiệp chế biến, chế tạo; ngành khai khoáng và ngành sản xuất, phân phối điện tăng thấp hoặc giảm</w:t>
      </w:r>
      <w:r w:rsidRPr="009620E0">
        <w:rPr>
          <w:rStyle w:val="FootnoteReference"/>
          <w:lang w:val="pl-PL"/>
        </w:rPr>
        <w:footnoteReference w:id="6"/>
      </w:r>
      <w:r w:rsidRPr="009620E0">
        <w:rPr>
          <w:lang w:val="pl-PL"/>
        </w:rPr>
        <w:t xml:space="preserve">.   </w:t>
      </w:r>
    </w:p>
    <w:p w14:paraId="30ECAA27" w14:textId="77777777" w:rsidR="00865420" w:rsidRPr="009620E0" w:rsidRDefault="00865420" w:rsidP="00865420">
      <w:pPr>
        <w:shd w:val="clear" w:color="auto" w:fill="FFFFFF"/>
        <w:jc w:val="center"/>
        <w:rPr>
          <w:rFonts w:ascii="Arial" w:hAnsi="Arial" w:cs="Arial"/>
          <w:b/>
          <w:bCs/>
          <w:sz w:val="12"/>
          <w:szCs w:val="24"/>
          <w:lang w:val="pl-PL"/>
        </w:rPr>
      </w:pPr>
    </w:p>
    <w:p w14:paraId="024867CC" w14:textId="609BD21A" w:rsidR="00865420" w:rsidRPr="009620E0" w:rsidRDefault="00865420" w:rsidP="00865420">
      <w:pPr>
        <w:shd w:val="clear" w:color="auto" w:fill="FFFFFF"/>
        <w:jc w:val="center"/>
        <w:rPr>
          <w:rFonts w:ascii="Arial" w:hAnsi="Arial" w:cs="Arial"/>
          <w:b/>
          <w:bCs/>
          <w:sz w:val="24"/>
          <w:szCs w:val="24"/>
          <w:lang w:val="pl-PL"/>
        </w:rPr>
      </w:pPr>
      <w:r w:rsidRPr="009620E0">
        <w:rPr>
          <w:rFonts w:ascii="Arial" w:hAnsi="Arial" w:cs="Arial"/>
          <w:b/>
          <w:bCs/>
          <w:sz w:val="24"/>
          <w:szCs w:val="24"/>
          <w:lang w:val="pl-PL"/>
        </w:rPr>
        <w:t xml:space="preserve">Hình 4. Tốc độ tăng/giảm IIP </w:t>
      </w:r>
      <w:r w:rsidR="007C547D" w:rsidRPr="009620E0">
        <w:rPr>
          <w:rFonts w:ascii="Arial" w:hAnsi="Arial" w:cs="Arial"/>
          <w:b/>
          <w:bCs/>
          <w:sz w:val="24"/>
          <w:szCs w:val="24"/>
          <w:lang w:val="pl-PL"/>
        </w:rPr>
        <w:t>2</w:t>
      </w:r>
      <w:r w:rsidRPr="009620E0">
        <w:rPr>
          <w:rFonts w:ascii="Arial" w:hAnsi="Arial" w:cs="Arial"/>
          <w:b/>
          <w:bCs/>
          <w:sz w:val="24"/>
          <w:szCs w:val="24"/>
          <w:lang w:val="vi-VN"/>
        </w:rPr>
        <w:t xml:space="preserve"> tháng đầu</w:t>
      </w:r>
      <w:r w:rsidRPr="009620E0">
        <w:rPr>
          <w:rFonts w:ascii="Arial" w:hAnsi="Arial" w:cs="Arial"/>
          <w:b/>
          <w:bCs/>
          <w:sz w:val="24"/>
          <w:szCs w:val="24"/>
          <w:lang w:val="pl-PL"/>
        </w:rPr>
        <w:t xml:space="preserve"> năm 2024</w:t>
      </w:r>
    </w:p>
    <w:p w14:paraId="2EC2B77B" w14:textId="77777777" w:rsidR="00865420" w:rsidRPr="009620E0" w:rsidRDefault="00865420" w:rsidP="00865420">
      <w:pPr>
        <w:shd w:val="clear" w:color="auto" w:fill="FFFFFF"/>
        <w:jc w:val="center"/>
        <w:rPr>
          <w:rFonts w:ascii="Arial" w:hAnsi="Arial" w:cs="Arial"/>
          <w:b/>
          <w:bCs/>
          <w:sz w:val="24"/>
          <w:szCs w:val="24"/>
          <w:lang w:val="pl-PL"/>
        </w:rPr>
      </w:pPr>
      <w:r w:rsidRPr="009620E0">
        <w:rPr>
          <w:rFonts w:ascii="Arial" w:hAnsi="Arial" w:cs="Arial"/>
          <w:b/>
          <w:bCs/>
          <w:sz w:val="24"/>
          <w:szCs w:val="24"/>
          <w:lang w:val="pl-PL"/>
        </w:rPr>
        <w:t>so với cùng kỳ năm trước</w:t>
      </w:r>
      <w:r w:rsidRPr="009620E0">
        <w:rPr>
          <w:rFonts w:ascii="Arial" w:hAnsi="Arial" w:cs="Arial"/>
          <w:b/>
          <w:bCs/>
          <w:sz w:val="24"/>
          <w:szCs w:val="24"/>
          <w:lang w:val="vi-VN"/>
        </w:rPr>
        <w:t xml:space="preserve"> </w:t>
      </w:r>
      <w:r w:rsidRPr="009620E0">
        <w:rPr>
          <w:rFonts w:ascii="Arial" w:hAnsi="Arial" w:cs="Arial"/>
          <w:b/>
          <w:bCs/>
          <w:sz w:val="24"/>
          <w:szCs w:val="24"/>
          <w:lang w:val="pl-PL"/>
        </w:rPr>
        <w:t xml:space="preserve">của một số </w:t>
      </w:r>
      <w:r w:rsidRPr="009620E0">
        <w:rPr>
          <w:rFonts w:ascii="Arial" w:hAnsi="Arial" w:cs="Arial"/>
          <w:b/>
          <w:bCs/>
          <w:sz w:val="24"/>
          <w:szCs w:val="24"/>
          <w:lang w:val="vi-VN"/>
        </w:rPr>
        <w:t>địa phương</w:t>
      </w:r>
      <w:r w:rsidRPr="009620E0">
        <w:rPr>
          <w:rFonts w:ascii="Arial" w:hAnsi="Arial" w:cs="Arial"/>
          <w:b/>
          <w:bCs/>
          <w:sz w:val="24"/>
          <w:szCs w:val="24"/>
          <w:lang w:val="pl-PL"/>
        </w:rPr>
        <w:t xml:space="preserve"> (%)</w:t>
      </w:r>
    </w:p>
    <w:p w14:paraId="7F05B044" w14:textId="77777777" w:rsidR="00865420" w:rsidRPr="009620E0" w:rsidRDefault="00865420" w:rsidP="00865420">
      <w:pPr>
        <w:shd w:val="clear" w:color="auto" w:fill="FFFFFF"/>
        <w:jc w:val="center"/>
        <w:rPr>
          <w:rFonts w:ascii="Arial" w:hAnsi="Arial" w:cs="Arial"/>
          <w:b/>
          <w:bCs/>
          <w:sz w:val="24"/>
          <w:szCs w:val="24"/>
          <w:lang w:val="pl-PL"/>
        </w:rPr>
      </w:pPr>
    </w:p>
    <w:tbl>
      <w:tblPr>
        <w:tblStyle w:val="TableGrid"/>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525"/>
      </w:tblGrid>
      <w:tr w:rsidR="00865420" w:rsidRPr="009620E0" w14:paraId="04E56795" w14:textId="77777777" w:rsidTr="00865420">
        <w:trPr>
          <w:trHeight w:val="679"/>
        </w:trPr>
        <w:tc>
          <w:tcPr>
            <w:tcW w:w="4518" w:type="dxa"/>
          </w:tcPr>
          <w:p w14:paraId="18481598" w14:textId="77777777" w:rsidR="00865420" w:rsidRPr="009620E0" w:rsidRDefault="00865420" w:rsidP="00865420">
            <w:pPr>
              <w:jc w:val="center"/>
              <w:rPr>
                <w:rFonts w:ascii="Arial" w:hAnsi="Arial" w:cs="Arial"/>
                <w:b/>
                <w:bCs/>
                <w:sz w:val="18"/>
                <w:szCs w:val="18"/>
                <w:lang w:val="pl-PL"/>
              </w:rPr>
            </w:pPr>
            <w:r w:rsidRPr="009620E0">
              <w:rPr>
                <w:rFonts w:ascii="Arial" w:hAnsi="Arial" w:cs="Arial"/>
                <w:b/>
                <w:bCs/>
                <w:sz w:val="18"/>
                <w:szCs w:val="18"/>
                <w:lang w:val="pl-PL"/>
              </w:rPr>
              <w:t>10 địa phương có tốc độ tăng IIP cao nhất</w:t>
            </w:r>
          </w:p>
          <w:p w14:paraId="2071297C" w14:textId="77777777" w:rsidR="00865420" w:rsidRPr="009620E0" w:rsidRDefault="00865420" w:rsidP="00865420">
            <w:pPr>
              <w:jc w:val="center"/>
              <w:rPr>
                <w:rFonts w:ascii="Arial" w:hAnsi="Arial" w:cs="Arial"/>
                <w:b/>
                <w:bCs/>
                <w:sz w:val="18"/>
                <w:szCs w:val="18"/>
                <w:lang w:val="pl-PL"/>
              </w:rPr>
            </w:pPr>
          </w:p>
          <w:p w14:paraId="3051358B" w14:textId="4D418497" w:rsidR="00865420" w:rsidRPr="009620E0" w:rsidRDefault="00865420" w:rsidP="00865420">
            <w:pPr>
              <w:ind w:right="119"/>
              <w:jc w:val="center"/>
              <w:rPr>
                <w:rFonts w:ascii="Arial" w:hAnsi="Arial" w:cs="Arial"/>
                <w:b/>
                <w:bCs/>
                <w:sz w:val="18"/>
                <w:szCs w:val="18"/>
              </w:rPr>
            </w:pPr>
            <w:r w:rsidRPr="009620E0">
              <w:rPr>
                <w:rFonts w:ascii="Arial" w:hAnsi="Arial" w:cs="Arial"/>
                <w:b/>
                <w:bCs/>
                <w:noProof/>
                <w:sz w:val="18"/>
                <w:szCs w:val="18"/>
              </w:rPr>
              <w:drawing>
                <wp:inline distT="0" distB="0" distL="0" distR="0" wp14:anchorId="64E9961F" wp14:editId="70311C32">
                  <wp:extent cx="2700642" cy="1924050"/>
                  <wp:effectExtent l="0" t="0" r="5080" b="0"/>
                  <wp:docPr id="126974564"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4564" name="Picture 1" descr="A graph with blue and white ba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5419" cy="1948827"/>
                          </a:xfrm>
                          <a:prstGeom prst="rect">
                            <a:avLst/>
                          </a:prstGeom>
                          <a:noFill/>
                        </pic:spPr>
                      </pic:pic>
                    </a:graphicData>
                  </a:graphic>
                </wp:inline>
              </w:drawing>
            </w:r>
          </w:p>
        </w:tc>
        <w:tc>
          <w:tcPr>
            <w:tcW w:w="4581" w:type="dxa"/>
          </w:tcPr>
          <w:p w14:paraId="367FD184" w14:textId="77777777" w:rsidR="00865420" w:rsidRPr="009620E0" w:rsidRDefault="00865420" w:rsidP="00865420">
            <w:pPr>
              <w:jc w:val="center"/>
              <w:rPr>
                <w:rFonts w:ascii="Arial" w:hAnsi="Arial" w:cs="Arial"/>
                <w:b/>
                <w:bCs/>
                <w:sz w:val="18"/>
                <w:szCs w:val="18"/>
              </w:rPr>
            </w:pPr>
            <w:r w:rsidRPr="009620E0">
              <w:rPr>
                <w:rFonts w:ascii="Arial" w:hAnsi="Arial" w:cs="Arial"/>
                <w:b/>
                <w:bCs/>
                <w:sz w:val="18"/>
                <w:szCs w:val="18"/>
              </w:rPr>
              <w:t>10 địa phương có IIP tăng thấp hoặc giảm</w:t>
            </w:r>
          </w:p>
          <w:p w14:paraId="60957B62" w14:textId="77777777" w:rsidR="00865420" w:rsidRPr="009620E0" w:rsidRDefault="00865420" w:rsidP="00865420">
            <w:pPr>
              <w:jc w:val="center"/>
              <w:rPr>
                <w:rFonts w:ascii="Arial" w:hAnsi="Arial" w:cs="Arial"/>
                <w:b/>
                <w:bCs/>
                <w:sz w:val="18"/>
                <w:szCs w:val="18"/>
              </w:rPr>
            </w:pPr>
          </w:p>
          <w:p w14:paraId="61AB54E9" w14:textId="7DBFB699" w:rsidR="00865420" w:rsidRPr="009620E0" w:rsidRDefault="00865420" w:rsidP="00865420">
            <w:pPr>
              <w:ind w:right="66"/>
              <w:jc w:val="center"/>
              <w:rPr>
                <w:rFonts w:ascii="Arial" w:hAnsi="Arial" w:cs="Arial"/>
                <w:b/>
                <w:bCs/>
                <w:sz w:val="18"/>
                <w:szCs w:val="18"/>
              </w:rPr>
            </w:pPr>
            <w:r w:rsidRPr="009620E0">
              <w:rPr>
                <w:rFonts w:ascii="Arial" w:hAnsi="Arial" w:cs="Arial"/>
                <w:b/>
                <w:bCs/>
                <w:noProof/>
                <w:sz w:val="18"/>
                <w:szCs w:val="18"/>
              </w:rPr>
              <w:drawing>
                <wp:inline distT="0" distB="0" distL="0" distR="0" wp14:anchorId="27138A73" wp14:editId="33B320FD">
                  <wp:extent cx="2694384" cy="1924053"/>
                  <wp:effectExtent l="0" t="0" r="0" b="0"/>
                  <wp:docPr id="359617351" name="Picture 2" descr="A graph with brow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17351" name="Picture 2" descr="A graph with brown squar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4977" cy="1967322"/>
                          </a:xfrm>
                          <a:prstGeom prst="rect">
                            <a:avLst/>
                          </a:prstGeom>
                          <a:noFill/>
                        </pic:spPr>
                      </pic:pic>
                    </a:graphicData>
                  </a:graphic>
                </wp:inline>
              </w:drawing>
            </w:r>
          </w:p>
        </w:tc>
      </w:tr>
    </w:tbl>
    <w:p w14:paraId="6FC3790C" w14:textId="77777777" w:rsidR="00865420" w:rsidRPr="009620E0" w:rsidRDefault="00865420" w:rsidP="00865420">
      <w:pPr>
        <w:shd w:val="clear" w:color="auto" w:fill="FFFFFF"/>
        <w:jc w:val="center"/>
        <w:rPr>
          <w:rFonts w:ascii="Arial" w:hAnsi="Arial" w:cs="Arial"/>
          <w:b/>
          <w:bCs/>
          <w:sz w:val="10"/>
          <w:szCs w:val="10"/>
        </w:rPr>
      </w:pPr>
    </w:p>
    <w:p w14:paraId="3907AADC" w14:textId="77777777" w:rsidR="00865420" w:rsidRPr="009620E0" w:rsidRDefault="00865420" w:rsidP="00865420">
      <w:pPr>
        <w:shd w:val="clear" w:color="auto" w:fill="FFFFFF"/>
        <w:spacing w:before="40" w:after="40" w:line="262" w:lineRule="auto"/>
        <w:jc w:val="both"/>
        <w:rPr>
          <w:i/>
          <w:spacing w:val="-2"/>
          <w:sz w:val="10"/>
          <w:szCs w:val="10"/>
          <w:lang w:val="pl-PL"/>
        </w:rPr>
      </w:pPr>
      <w:r w:rsidRPr="009620E0">
        <w:rPr>
          <w:noProof/>
          <w:lang w:val="pl-PL"/>
        </w:rPr>
        <w:t xml:space="preserve">  </w:t>
      </w:r>
    </w:p>
    <w:p w14:paraId="76328A2B" w14:textId="54D80FA7" w:rsidR="00865420" w:rsidRPr="009620E0" w:rsidRDefault="00865420" w:rsidP="00093E9A">
      <w:pPr>
        <w:shd w:val="clear" w:color="auto" w:fill="FFFFFF"/>
        <w:spacing w:after="120" w:line="264" w:lineRule="auto"/>
        <w:ind w:firstLine="567"/>
        <w:jc w:val="both"/>
        <w:rPr>
          <w:lang w:val="vi-VN"/>
        </w:rPr>
      </w:pPr>
      <w:r w:rsidRPr="009620E0">
        <w:rPr>
          <w:lang w:val="pl-PL"/>
        </w:rPr>
        <w:t xml:space="preserve">Một số sản phẩm công nghiệp chủ lực trong </w:t>
      </w:r>
      <w:r w:rsidR="007C547D" w:rsidRPr="009620E0">
        <w:rPr>
          <w:lang w:val="pl-PL"/>
        </w:rPr>
        <w:t>2</w:t>
      </w:r>
      <w:r w:rsidRPr="009620E0">
        <w:rPr>
          <w:lang w:val="vi-VN"/>
        </w:rPr>
        <w:t xml:space="preserve"> tháng đầu năm </w:t>
      </w:r>
      <w:r w:rsidRPr="009620E0">
        <w:rPr>
          <w:lang w:val="pl-PL"/>
        </w:rPr>
        <w:t>2024 tăng so với cùng kỳ năm trước: Xăng dầu tăng 44,7%; phân hỗn hợp NPK tăng 29</w:t>
      </w:r>
      <w:r w:rsidRPr="009620E0">
        <w:rPr>
          <w:lang w:val="vi-VN"/>
        </w:rPr>
        <w:t xml:space="preserve">%; </w:t>
      </w:r>
      <w:r w:rsidRPr="009620E0">
        <w:rPr>
          <w:lang w:val="pl-PL"/>
        </w:rPr>
        <w:t>thép cán tăng</w:t>
      </w:r>
      <w:r w:rsidRPr="009620E0">
        <w:rPr>
          <w:lang w:val="vi-VN"/>
        </w:rPr>
        <w:t xml:space="preserve"> 24,1%; sơn hóa học tăng</w:t>
      </w:r>
      <w:r w:rsidRPr="009620E0">
        <w:rPr>
          <w:lang w:val="pl-PL"/>
        </w:rPr>
        <w:t xml:space="preserve"> 22,4%; đường kính tăng 21,1%; vải dệt từ sợi tự nhiên tăng 20,8</w:t>
      </w:r>
      <w:r w:rsidRPr="009620E0">
        <w:rPr>
          <w:lang w:val="vi-VN"/>
        </w:rPr>
        <w:t xml:space="preserve">%; </w:t>
      </w:r>
      <w:r w:rsidRPr="009620E0">
        <w:rPr>
          <w:lang w:val="pl-PL"/>
        </w:rPr>
        <w:t>thép thanh, thép góc tăng</w:t>
      </w:r>
      <w:r w:rsidRPr="009620E0">
        <w:rPr>
          <w:lang w:val="vi-VN"/>
        </w:rPr>
        <w:t xml:space="preserve"> </w:t>
      </w:r>
      <w:r w:rsidRPr="009620E0">
        <w:rPr>
          <w:lang w:val="pl-PL"/>
        </w:rPr>
        <w:t>18,6</w:t>
      </w:r>
      <w:r w:rsidRPr="009620E0">
        <w:rPr>
          <w:lang w:val="vi-VN"/>
        </w:rPr>
        <w:t xml:space="preserve">%; </w:t>
      </w:r>
      <w:r w:rsidRPr="009620E0">
        <w:rPr>
          <w:lang w:val="pl-PL"/>
        </w:rPr>
        <w:t>sữa bột tăng 15,3%</w:t>
      </w:r>
      <w:r w:rsidRPr="009620E0">
        <w:rPr>
          <w:lang w:val="vi-VN"/>
        </w:rPr>
        <w:t xml:space="preserve">; </w:t>
      </w:r>
      <w:r w:rsidRPr="009620E0">
        <w:rPr>
          <w:lang w:val="pl-PL"/>
        </w:rPr>
        <w:t>điện sản xuất tăng 12,1</w:t>
      </w:r>
      <w:r w:rsidRPr="009620E0">
        <w:rPr>
          <w:lang w:val="vi-VN"/>
        </w:rPr>
        <w:t>%.</w:t>
      </w:r>
      <w:r w:rsidRPr="009620E0">
        <w:rPr>
          <w:lang w:val="pl-PL"/>
        </w:rPr>
        <w:t xml:space="preserve"> Ở chiều ngược lại, một số sản phẩm giảm so với cùng kỳ năm trước: Linh kiện điện thoại giảm 20,8%; khí đốt thiên nhiên dạng khí giảm 16,1%; ti vi giảm13,7%; bia giảm 11,5%; ô tô giảm 9,8%; sắt, thép thô giảm 8,6%; điện thoại di động giảm 6,7%.</w:t>
      </w:r>
    </w:p>
    <w:p w14:paraId="0BEB8212" w14:textId="77777777" w:rsidR="00865420" w:rsidRPr="009620E0" w:rsidRDefault="00865420" w:rsidP="00093E9A">
      <w:pPr>
        <w:spacing w:after="120" w:line="264" w:lineRule="auto"/>
        <w:ind w:firstLine="567"/>
        <w:jc w:val="both"/>
        <w:rPr>
          <w:b/>
          <w:bCs/>
          <w:lang w:val="pl-PL"/>
        </w:rPr>
      </w:pPr>
      <w:r w:rsidRPr="009620E0">
        <w:rPr>
          <w:lang w:val="pl-PL"/>
        </w:rPr>
        <w:t>Số lao động đang làm việc trong các doanh nghiệp công nghiệp tại thời điểm 01/0</w:t>
      </w:r>
      <w:r w:rsidRPr="009620E0">
        <w:rPr>
          <w:lang w:val="vi-VN"/>
        </w:rPr>
        <w:t>2</w:t>
      </w:r>
      <w:r w:rsidRPr="009620E0">
        <w:rPr>
          <w:lang w:val="pl-PL"/>
        </w:rPr>
        <w:t xml:space="preserve">/2024 tăng </w:t>
      </w:r>
      <w:r w:rsidRPr="009620E0">
        <w:rPr>
          <w:lang w:val="vi-VN"/>
        </w:rPr>
        <w:t>0,3</w:t>
      </w:r>
      <w:r w:rsidRPr="009620E0">
        <w:rPr>
          <w:lang w:val="pl-PL"/>
        </w:rPr>
        <w:t xml:space="preserve">% so với cùng thời điểm tháng trước và </w:t>
      </w:r>
      <w:r w:rsidRPr="009620E0">
        <w:rPr>
          <w:lang w:val="vi-VN"/>
        </w:rPr>
        <w:t>giảm 0,5</w:t>
      </w:r>
      <w:r w:rsidRPr="009620E0">
        <w:rPr>
          <w:lang w:val="pl-PL"/>
        </w:rPr>
        <w:t>% so với cùng thời điểm năm trước</w:t>
      </w:r>
      <w:r w:rsidRPr="009620E0">
        <w:rPr>
          <w:lang w:val="vi-VN"/>
        </w:rPr>
        <w:t>.</w:t>
      </w:r>
      <w:r w:rsidRPr="009620E0">
        <w:rPr>
          <w:lang w:val="pl-PL"/>
        </w:rPr>
        <w:t xml:space="preserve"> </w:t>
      </w:r>
      <w:r w:rsidRPr="009620E0">
        <w:rPr>
          <w:lang w:val="vi-VN"/>
        </w:rPr>
        <w:t>T</w:t>
      </w:r>
      <w:r w:rsidRPr="009620E0">
        <w:rPr>
          <w:lang w:val="pl-PL"/>
        </w:rPr>
        <w:t>rong đó</w:t>
      </w:r>
      <w:r w:rsidRPr="009620E0">
        <w:rPr>
          <w:lang w:val="vi-VN"/>
        </w:rPr>
        <w:t>,</w:t>
      </w:r>
      <w:r w:rsidRPr="009620E0">
        <w:rPr>
          <w:lang w:val="pl-PL"/>
        </w:rPr>
        <w:t xml:space="preserve"> </w:t>
      </w:r>
      <w:r w:rsidRPr="009620E0">
        <w:rPr>
          <w:lang w:val="vi-VN"/>
        </w:rPr>
        <w:t>l</w:t>
      </w:r>
      <w:r w:rsidRPr="009620E0">
        <w:rPr>
          <w:lang w:val="pl-PL"/>
        </w:rPr>
        <w:t xml:space="preserve">ao động khu vực doanh nghiệp Nhà nước không đổi so với tháng trước và giảm 0,1% so với cùng kỳ năm trước; doanh nghiệp ngoài Nhà nước giảm 0,1% và giảm 2,2%; doanh nghiệp có vốn đầu tư nước ngoài tăng 0,5% và tăng 0,4%. Theo ngành hoạt động, số lao động đang làm việc trong các doanh nghiệp ngành khai khoáng giảm 0,2% so với cùng thời điểm tháng trước và tăng 0,9% so với cùng thời điểm năm trước; ngành chế biến, chế tạo tăng 0,3% và giảm 0,7%; ngành sản xuất và phân phối điện, khí đốt, nước nóng, hơi nước và điều hòa không khí không đổi và tăng 0,5%; ngành cung cấp nước, hoạt động quản lý và xử lý rác thải, nước thải </w:t>
      </w:r>
      <w:r w:rsidRPr="009620E0">
        <w:rPr>
          <w:lang w:val="vi-VN"/>
        </w:rPr>
        <w:t>tăng 0,</w:t>
      </w:r>
      <w:r w:rsidRPr="009620E0">
        <w:rPr>
          <w:lang w:val="pl-PL"/>
        </w:rPr>
        <w:t>1% và tăng 1,8%.</w:t>
      </w:r>
    </w:p>
    <w:p w14:paraId="7F49F154" w14:textId="77777777" w:rsidR="0040059E" w:rsidRPr="009620E0" w:rsidRDefault="0040059E" w:rsidP="00C77156">
      <w:pPr>
        <w:tabs>
          <w:tab w:val="left" w:pos="1843"/>
        </w:tabs>
        <w:spacing w:after="120" w:line="252" w:lineRule="auto"/>
        <w:ind w:firstLine="567"/>
        <w:jc w:val="both"/>
        <w:rPr>
          <w:lang w:val="it-IT"/>
        </w:rPr>
      </w:pPr>
      <w:r w:rsidRPr="009620E0">
        <w:rPr>
          <w:b/>
          <w:bCs/>
          <w:lang w:val="it-IT"/>
        </w:rPr>
        <w:lastRenderedPageBreak/>
        <w:t xml:space="preserve">3. </w:t>
      </w:r>
      <w:r w:rsidRPr="009620E0">
        <w:rPr>
          <w:b/>
          <w:lang w:val="it-IT"/>
        </w:rPr>
        <w:t>Tình hình đăng ký doanh nghiệp</w:t>
      </w:r>
      <w:r w:rsidRPr="009620E0">
        <w:rPr>
          <w:bCs/>
          <w:vertAlign w:val="superscript"/>
        </w:rPr>
        <w:footnoteReference w:id="7"/>
      </w:r>
    </w:p>
    <w:p w14:paraId="52BC1B7A" w14:textId="77777777" w:rsidR="0040059E" w:rsidRPr="009620E0" w:rsidRDefault="0040059E" w:rsidP="00C77156">
      <w:pPr>
        <w:spacing w:after="120" w:line="252" w:lineRule="auto"/>
        <w:ind w:firstLine="567"/>
        <w:jc w:val="both"/>
        <w:rPr>
          <w:lang w:val="it-IT"/>
        </w:rPr>
      </w:pPr>
      <w:r w:rsidRPr="009620E0">
        <w:rPr>
          <w:lang w:val="it-IT"/>
        </w:rPr>
        <w:t>Tháng Hai năm nay, cả nước có gần 8,6 nghìn doanh nghiệp thành lập mới với số vốn đăng ký là 67,3 nghìn tỷ đồng và số lao động đăng ký gần 50,9 nghìn lao động, giảm 36,5% về số doanh nghiệp, giảm 55,6% về vốn đăng ký và giảm 50,8% về số lao động so với tháng 01/2024. So với cùng kỳ năm trước, giảm 2,8% về số doanh nghiệp, tăng 2,6% về số vốn đăng ký và giảm 0,3% về số lao động. Vốn đăng ký bình quân một doanh nghiệp thành lập mới trong tháng đạt 7,8 tỷ đồng, giảm 30% so với tháng trước và tăng 5,6% so với cùng kỳ năm 2023. Bên cạnh đó, cả nước còn có hơn 5,3 nghìn doanh nghiệp quay trở lại hoạt động, giảm 61,3% so với tháng trước và tăng 36% so với cùng kỳ năm 2023.</w:t>
      </w:r>
    </w:p>
    <w:p w14:paraId="1576E9D2" w14:textId="297D8467" w:rsidR="0040059E" w:rsidRPr="009620E0" w:rsidRDefault="0040059E" w:rsidP="00054799">
      <w:pPr>
        <w:pStyle w:val="CommentText"/>
        <w:spacing w:after="120" w:line="252" w:lineRule="auto"/>
        <w:ind w:firstLine="567"/>
        <w:jc w:val="both"/>
        <w:rPr>
          <w:lang w:val="it-IT"/>
        </w:rPr>
      </w:pPr>
      <w:r w:rsidRPr="009620E0">
        <w:rPr>
          <w:szCs w:val="28"/>
          <w:lang w:val="it-IT"/>
        </w:rPr>
        <w:t xml:space="preserve">Tính chung </w:t>
      </w:r>
      <w:r w:rsidR="007C547D" w:rsidRPr="009620E0">
        <w:rPr>
          <w:szCs w:val="28"/>
          <w:lang w:val="it-IT"/>
        </w:rPr>
        <w:t>2</w:t>
      </w:r>
      <w:r w:rsidRPr="009620E0">
        <w:rPr>
          <w:szCs w:val="28"/>
          <w:lang w:val="it-IT"/>
        </w:rPr>
        <w:t xml:space="preserve"> tháng đầu năm 2024, cả nước có hơn 22,1 nghìn doanh nghiệp đăng ký thành lập mới với tổng số vốn đăng ký là 218,7 nghìn tỷ đồng và tổng số lao động đăng ký là 154,3 nghìn lao động, tăng 12,4% về số doanh nghiệp, tăng 32,8% về vốn đăng ký và tăng 29% về số lao động so với cùng kỳ năm trước. Vốn đăng ký bình quân một doanh nghiệp thành lập mới trong </w:t>
      </w:r>
      <w:r w:rsidR="007C547D" w:rsidRPr="009620E0">
        <w:rPr>
          <w:szCs w:val="28"/>
          <w:lang w:val="it-IT"/>
        </w:rPr>
        <w:t>2</w:t>
      </w:r>
      <w:r w:rsidRPr="009620E0">
        <w:rPr>
          <w:szCs w:val="28"/>
          <w:lang w:val="it-IT"/>
        </w:rPr>
        <w:t xml:space="preserve"> tháng đầu năm 2024 đạt 9,9 tỷ đồng, tăng 18,2% so với cùng kỳ năm 2023. </w:t>
      </w:r>
      <w:r w:rsidR="00054799" w:rsidRPr="009620E0">
        <w:rPr>
          <w:szCs w:val="28"/>
          <w:lang w:val="it-IT"/>
        </w:rPr>
        <w:t xml:space="preserve">Nếu tính cả 300,9 nghìn tỷ đồng vốn đăng ký tăng thêm của 6.331 doanh nghiệp tăng vốn thì tổng số vốn đăng ký bổ sung vào nền kinh tế trong </w:t>
      </w:r>
      <w:r w:rsidR="007C547D" w:rsidRPr="009620E0">
        <w:rPr>
          <w:szCs w:val="28"/>
          <w:lang w:val="it-IT"/>
        </w:rPr>
        <w:t>2</w:t>
      </w:r>
      <w:r w:rsidR="00054799" w:rsidRPr="009620E0">
        <w:rPr>
          <w:szCs w:val="28"/>
          <w:lang w:val="it-IT"/>
        </w:rPr>
        <w:t xml:space="preserve"> tháng đầu năm 2024 là 519,6 nghìn tỷ đồng, giảm 0,6% so với cùng kỳ năm trước. </w:t>
      </w:r>
      <w:r w:rsidRPr="009620E0">
        <w:rPr>
          <w:lang w:val="it-IT"/>
        </w:rPr>
        <w:t xml:space="preserve">Bên cạnh đó, cả nước có gần 19 nghìn doanh nghiệp quay trở lại hoạt động (tăng 4,4% so với cùng kỳ năm 2023), nâng tổng số doanh nghiệp thành lập mới và doanh nghiệp quay trở lại hoạt động trong </w:t>
      </w:r>
      <w:r w:rsidR="007C547D" w:rsidRPr="009620E0">
        <w:rPr>
          <w:lang w:val="it-IT"/>
        </w:rPr>
        <w:t>2</w:t>
      </w:r>
      <w:r w:rsidRPr="009620E0">
        <w:rPr>
          <w:lang w:val="it-IT"/>
        </w:rPr>
        <w:t xml:space="preserve"> tháng đầu năm 202</w:t>
      </w:r>
      <w:r w:rsidR="00EA1A3E" w:rsidRPr="009620E0">
        <w:rPr>
          <w:lang w:val="it-IT"/>
        </w:rPr>
        <w:t>4</w:t>
      </w:r>
      <w:r w:rsidRPr="009620E0">
        <w:rPr>
          <w:lang w:val="it-IT"/>
        </w:rPr>
        <w:t xml:space="preserve"> lên gần 41,1 nghìn doanh nghiệp, tăng 8,5% so với cùng kỳ năm trước. Bình quân một tháng có hơn 20,5 nghìn doanh nghiệp thành lập mới và quay trở lại hoạt động.</w:t>
      </w:r>
    </w:p>
    <w:p w14:paraId="0DF4D03E" w14:textId="4F4D3491" w:rsidR="0040059E" w:rsidRPr="009620E0" w:rsidRDefault="0040059E" w:rsidP="00C77156">
      <w:pPr>
        <w:spacing w:after="120" w:line="252" w:lineRule="auto"/>
        <w:ind w:firstLine="567"/>
        <w:jc w:val="both"/>
        <w:rPr>
          <w:lang w:val="it-IT"/>
        </w:rPr>
      </w:pPr>
      <w:r w:rsidRPr="009620E0">
        <w:rPr>
          <w:lang w:val="it-IT"/>
        </w:rPr>
        <w:t xml:space="preserve">Theo khu vực kinh tế, </w:t>
      </w:r>
      <w:r w:rsidR="007C547D" w:rsidRPr="009620E0">
        <w:rPr>
          <w:lang w:val="it-IT"/>
        </w:rPr>
        <w:t>2</w:t>
      </w:r>
      <w:r w:rsidRPr="009620E0">
        <w:rPr>
          <w:lang w:val="it-IT"/>
        </w:rPr>
        <w:t xml:space="preserve"> tháng đầu năm 2024 có 236 doanh nghiệp thành lập mới thuộc khu vực nông, lâm nghiệp và thủy sản, tăng 19,2% so với cùng kỳ năm trước; 5,3 nghìn doanh nghiệp thuộc khu vực công nghiệp và xây dựng, tăng 12,1%; 16,6 nghìn doanh nghiệp thuộc khu vực dịch vụ, tăng 12,4%.</w:t>
      </w:r>
    </w:p>
    <w:p w14:paraId="1B7C4588" w14:textId="7AA2C9E9" w:rsidR="0040059E" w:rsidRPr="009620E0" w:rsidRDefault="0040059E" w:rsidP="00C77156">
      <w:pPr>
        <w:spacing w:after="40"/>
        <w:jc w:val="center"/>
        <w:rPr>
          <w:rFonts w:ascii="Arial" w:hAnsi="Arial" w:cs="Arial"/>
          <w:b/>
          <w:sz w:val="24"/>
          <w:szCs w:val="24"/>
          <w:lang w:val="it-IT"/>
        </w:rPr>
      </w:pPr>
      <w:r w:rsidRPr="009620E0">
        <w:rPr>
          <w:rFonts w:ascii="Arial" w:hAnsi="Arial" w:cs="Arial"/>
          <w:b/>
          <w:sz w:val="24"/>
          <w:szCs w:val="24"/>
          <w:lang w:val="it-IT"/>
        </w:rPr>
        <w:t>Hình 5. Tình hình đăng ký doanh nghiệp</w:t>
      </w:r>
    </w:p>
    <w:p w14:paraId="09843E03" w14:textId="04B83EFF" w:rsidR="0040059E" w:rsidRPr="009620E0" w:rsidRDefault="00537359" w:rsidP="0040059E">
      <w:pPr>
        <w:spacing w:before="40" w:after="40" w:line="276" w:lineRule="auto"/>
        <w:ind w:right="-3"/>
        <w:jc w:val="center"/>
        <w:rPr>
          <w:sz w:val="6"/>
          <w:lang w:val="it-IT"/>
        </w:rPr>
      </w:pPr>
      <w:r w:rsidRPr="009620E0">
        <w:rPr>
          <w:rFonts w:ascii="Arial" w:hAnsi="Arial" w:cs="Arial"/>
          <w:b/>
          <w:noProof/>
          <w:sz w:val="24"/>
          <w:szCs w:val="24"/>
          <w:lang w:val="en-GB" w:eastAsia="en-GB"/>
        </w:rPr>
        <w:drawing>
          <wp:inline distT="0" distB="0" distL="0" distR="0" wp14:anchorId="4C08FCFC" wp14:editId="195D6977">
            <wp:extent cx="4267200" cy="2185823"/>
            <wp:effectExtent l="0" t="0" r="0" b="5080"/>
            <wp:docPr id="12" name="Picture 12" descr="C:\Users\dtphong\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762" cy="2204551"/>
                    </a:xfrm>
                    <a:prstGeom prst="rect">
                      <a:avLst/>
                    </a:prstGeom>
                    <a:noFill/>
                    <a:ln>
                      <a:noFill/>
                    </a:ln>
                  </pic:spPr>
                </pic:pic>
              </a:graphicData>
            </a:graphic>
          </wp:inline>
        </w:drawing>
      </w:r>
    </w:p>
    <w:p w14:paraId="314BB722" w14:textId="77777777" w:rsidR="0040059E" w:rsidRPr="009620E0" w:rsidRDefault="0040059E" w:rsidP="0040059E">
      <w:pPr>
        <w:spacing w:before="40" w:after="40" w:line="264" w:lineRule="auto"/>
        <w:ind w:firstLine="567"/>
        <w:jc w:val="both"/>
        <w:rPr>
          <w:lang w:val="it-IT"/>
        </w:rPr>
      </w:pPr>
      <w:r w:rsidRPr="009620E0">
        <w:rPr>
          <w:lang w:val="it-IT"/>
        </w:rPr>
        <w:lastRenderedPageBreak/>
        <w:t xml:space="preserve">Cũng trong tháng Hai, có 5.146 doanh nghiệp đăng ký tạm ngừng kinh doanh có thời hạn, giảm 88,3% so với tháng trước và tăng 35,3% so với cùng kỳ năm 2023; có 2.153 doanh nghiệp ngừng hoạt động chờ làm thủ tục giải thể, giảm 72,4% và giảm 18,3%; có 1.506 doanh nghiệp hoàn tất thủ tục giải thể, giảm 30,4% và tăng 29%. </w:t>
      </w:r>
    </w:p>
    <w:p w14:paraId="3A9D6A4E" w14:textId="5FE66DA6" w:rsidR="0040059E" w:rsidRPr="009620E0" w:rsidRDefault="0040059E" w:rsidP="00C77156">
      <w:pPr>
        <w:spacing w:before="40" w:after="40" w:line="264" w:lineRule="auto"/>
        <w:ind w:firstLine="567"/>
        <w:jc w:val="both"/>
        <w:rPr>
          <w:rFonts w:ascii="Arial" w:hAnsi="Arial" w:cs="Arial"/>
          <w:b/>
          <w:sz w:val="24"/>
          <w:szCs w:val="20"/>
          <w:lang w:val="it-IT"/>
        </w:rPr>
      </w:pPr>
      <w:r w:rsidRPr="009620E0">
        <w:rPr>
          <w:lang w:val="it-IT"/>
        </w:rPr>
        <w:t xml:space="preserve">Tính chung </w:t>
      </w:r>
      <w:r w:rsidR="007C547D" w:rsidRPr="009620E0">
        <w:rPr>
          <w:lang w:val="it-IT"/>
        </w:rPr>
        <w:t>2</w:t>
      </w:r>
      <w:r w:rsidRPr="009620E0">
        <w:rPr>
          <w:lang w:val="it-IT"/>
        </w:rPr>
        <w:t xml:space="preserve"> tháng đầu năm 2024, số doanh nghiệp tạm ngừng kinh doanh có thời hạn là gần 49,3 nghìn doanh nghiệp, tăng 27,1% so với cùng kỳ năm trước; 10 nghìn doanh nghiệp ngừng hoạt động chờ làm thủ tục giải thể, tăng 6,5%; gần 3,7 nghìn doanh nghiệp hoàn tất thủ tục giải thể, tăng 14,5%. Bình quân một tháng có gần 31,5 nghìn doanh nghiệp rút lui khỏi thị trường.</w:t>
      </w:r>
    </w:p>
    <w:p w14:paraId="44040F06" w14:textId="26096461" w:rsidR="0040059E" w:rsidRPr="009620E0" w:rsidRDefault="0040059E" w:rsidP="00C77156">
      <w:pPr>
        <w:tabs>
          <w:tab w:val="left" w:pos="6810"/>
        </w:tabs>
        <w:spacing w:before="120"/>
        <w:jc w:val="center"/>
        <w:rPr>
          <w:rFonts w:ascii="Arial" w:hAnsi="Arial" w:cs="Arial"/>
          <w:b/>
          <w:sz w:val="24"/>
          <w:szCs w:val="20"/>
          <w:lang w:val="it-IT"/>
        </w:rPr>
      </w:pPr>
      <w:r w:rsidRPr="009620E0">
        <w:rPr>
          <w:rFonts w:ascii="Arial" w:hAnsi="Arial" w:cs="Arial"/>
          <w:b/>
          <w:sz w:val="24"/>
          <w:szCs w:val="20"/>
          <w:lang w:val="it-IT"/>
        </w:rPr>
        <w:t xml:space="preserve">Biểu 2. Doanh nghiệp thành lập mới và giải thể </w:t>
      </w:r>
      <w:r w:rsidR="007C547D" w:rsidRPr="009620E0">
        <w:rPr>
          <w:rFonts w:ascii="Arial" w:hAnsi="Arial" w:cs="Arial"/>
          <w:b/>
          <w:sz w:val="24"/>
          <w:szCs w:val="20"/>
          <w:lang w:val="it-IT"/>
        </w:rPr>
        <w:t>2</w:t>
      </w:r>
      <w:r w:rsidRPr="009620E0">
        <w:rPr>
          <w:rFonts w:ascii="Arial" w:hAnsi="Arial" w:cs="Arial"/>
          <w:b/>
          <w:sz w:val="24"/>
          <w:szCs w:val="20"/>
          <w:lang w:val="it-IT"/>
        </w:rPr>
        <w:t xml:space="preserve"> tháng đầu năm 2024</w:t>
      </w:r>
    </w:p>
    <w:p w14:paraId="6AC1271A" w14:textId="77777777" w:rsidR="0040059E" w:rsidRPr="009620E0" w:rsidRDefault="0040059E" w:rsidP="0040059E">
      <w:pPr>
        <w:tabs>
          <w:tab w:val="left" w:pos="6810"/>
        </w:tabs>
        <w:jc w:val="center"/>
        <w:rPr>
          <w:rFonts w:ascii="Arial" w:hAnsi="Arial" w:cs="Arial"/>
          <w:b/>
          <w:sz w:val="24"/>
          <w:szCs w:val="20"/>
          <w:lang w:val="it-IT"/>
        </w:rPr>
      </w:pPr>
      <w:r w:rsidRPr="009620E0">
        <w:rPr>
          <w:rFonts w:ascii="Arial" w:hAnsi="Arial" w:cs="Arial"/>
          <w:b/>
          <w:sz w:val="24"/>
          <w:szCs w:val="20"/>
          <w:lang w:val="it-IT"/>
        </w:rPr>
        <w:t>phân theo một số lĩnh vực hoạt động</w:t>
      </w:r>
    </w:p>
    <w:p w14:paraId="0F060D0E" w14:textId="77777777" w:rsidR="0040059E" w:rsidRPr="009620E0" w:rsidRDefault="0040059E" w:rsidP="0040059E">
      <w:pPr>
        <w:tabs>
          <w:tab w:val="left" w:pos="6810"/>
        </w:tabs>
        <w:spacing w:before="40" w:after="40" w:line="276" w:lineRule="auto"/>
        <w:ind w:firstLine="567"/>
        <w:jc w:val="center"/>
        <w:rPr>
          <w:rFonts w:ascii="Arial" w:hAnsi="Arial" w:cs="Arial"/>
          <w:b/>
          <w:sz w:val="4"/>
          <w:szCs w:val="20"/>
          <w:lang w:val="it-IT"/>
        </w:rPr>
      </w:pPr>
    </w:p>
    <w:tbl>
      <w:tblPr>
        <w:tblW w:w="9153" w:type="dxa"/>
        <w:jc w:val="center"/>
        <w:tblLook w:val="04A0" w:firstRow="1" w:lastRow="0" w:firstColumn="1" w:lastColumn="0" w:noHBand="0" w:noVBand="1"/>
      </w:tblPr>
      <w:tblGrid>
        <w:gridCol w:w="3934"/>
        <w:gridCol w:w="1561"/>
        <w:gridCol w:w="1175"/>
        <w:gridCol w:w="1501"/>
        <w:gridCol w:w="982"/>
      </w:tblGrid>
      <w:tr w:rsidR="009620E0" w:rsidRPr="009620E0" w14:paraId="0E952E62" w14:textId="77777777" w:rsidTr="00165BBE">
        <w:trPr>
          <w:cantSplit/>
          <w:trHeight w:val="478"/>
          <w:jc w:val="center"/>
        </w:trPr>
        <w:tc>
          <w:tcPr>
            <w:tcW w:w="3934" w:type="dxa"/>
            <w:vMerge w:val="restart"/>
            <w:tcBorders>
              <w:top w:val="single" w:sz="4" w:space="0" w:color="auto"/>
              <w:left w:val="nil"/>
              <w:bottom w:val="nil"/>
              <w:right w:val="nil"/>
            </w:tcBorders>
            <w:noWrap/>
            <w:vAlign w:val="bottom"/>
            <w:hideMark/>
          </w:tcPr>
          <w:p w14:paraId="762F882E" w14:textId="77777777" w:rsidR="0040059E" w:rsidRPr="009620E0" w:rsidRDefault="0040059E" w:rsidP="00165BBE">
            <w:pPr>
              <w:jc w:val="center"/>
              <w:rPr>
                <w:rFonts w:ascii="Arial" w:hAnsi="Arial" w:cs="Arial"/>
                <w:sz w:val="20"/>
                <w:szCs w:val="20"/>
                <w:lang w:val="it-IT" w:eastAsia="en-GB"/>
              </w:rPr>
            </w:pPr>
            <w:r w:rsidRPr="009620E0">
              <w:rPr>
                <w:rFonts w:ascii="Arial" w:hAnsi="Arial" w:cs="Arial"/>
                <w:sz w:val="20"/>
                <w:szCs w:val="20"/>
                <w:lang w:val="it-IT" w:eastAsia="en-GB"/>
              </w:rPr>
              <w:t> </w:t>
            </w:r>
          </w:p>
        </w:tc>
        <w:tc>
          <w:tcPr>
            <w:tcW w:w="2736" w:type="dxa"/>
            <w:gridSpan w:val="2"/>
            <w:tcBorders>
              <w:top w:val="single" w:sz="4" w:space="0" w:color="auto"/>
              <w:left w:val="nil"/>
              <w:bottom w:val="single" w:sz="4" w:space="0" w:color="auto"/>
              <w:right w:val="nil"/>
            </w:tcBorders>
            <w:vAlign w:val="center"/>
            <w:hideMark/>
          </w:tcPr>
          <w:p w14:paraId="18885276" w14:textId="77777777" w:rsidR="0040059E" w:rsidRPr="009620E0" w:rsidRDefault="0040059E" w:rsidP="00165BBE">
            <w:pPr>
              <w:jc w:val="center"/>
              <w:rPr>
                <w:rFonts w:ascii="Arial" w:hAnsi="Arial" w:cs="Arial"/>
                <w:bCs/>
                <w:sz w:val="20"/>
                <w:szCs w:val="20"/>
                <w:lang w:val="it-IT" w:eastAsia="en-GB"/>
              </w:rPr>
            </w:pPr>
            <w:r w:rsidRPr="009620E0">
              <w:rPr>
                <w:rFonts w:ascii="Arial" w:hAnsi="Arial" w:cs="Arial"/>
                <w:bCs/>
                <w:sz w:val="20"/>
                <w:szCs w:val="20"/>
                <w:lang w:val="it-IT" w:eastAsia="en-GB"/>
              </w:rPr>
              <w:t>Số lượng doanh nghiệp (Doanh nghiệp)</w:t>
            </w:r>
          </w:p>
        </w:tc>
        <w:tc>
          <w:tcPr>
            <w:tcW w:w="2483" w:type="dxa"/>
            <w:gridSpan w:val="2"/>
            <w:tcBorders>
              <w:top w:val="single" w:sz="4" w:space="0" w:color="auto"/>
              <w:left w:val="nil"/>
              <w:bottom w:val="single" w:sz="4" w:space="0" w:color="auto"/>
              <w:right w:val="nil"/>
            </w:tcBorders>
            <w:vAlign w:val="center"/>
            <w:hideMark/>
          </w:tcPr>
          <w:p w14:paraId="40D0352F" w14:textId="77777777" w:rsidR="0040059E" w:rsidRPr="009620E0" w:rsidRDefault="0040059E" w:rsidP="00165BBE">
            <w:pPr>
              <w:jc w:val="center"/>
              <w:rPr>
                <w:rFonts w:ascii="Arial" w:hAnsi="Arial" w:cs="Arial"/>
                <w:bCs/>
                <w:sz w:val="20"/>
                <w:szCs w:val="20"/>
                <w:lang w:val="it-IT" w:eastAsia="en-GB"/>
              </w:rPr>
            </w:pPr>
            <w:r w:rsidRPr="009620E0">
              <w:rPr>
                <w:rFonts w:ascii="Arial" w:hAnsi="Arial" w:cs="Arial"/>
                <w:bCs/>
                <w:sz w:val="20"/>
                <w:szCs w:val="20"/>
                <w:lang w:val="it-IT" w:eastAsia="en-GB"/>
              </w:rPr>
              <w:t>Tốc độ tăng/giảm so với cùng kỳ năm trước (%)</w:t>
            </w:r>
          </w:p>
        </w:tc>
      </w:tr>
      <w:tr w:rsidR="009620E0" w:rsidRPr="009620E0" w14:paraId="34331771" w14:textId="77777777" w:rsidTr="00165BBE">
        <w:trPr>
          <w:cantSplit/>
          <w:trHeight w:val="319"/>
          <w:jc w:val="center"/>
        </w:trPr>
        <w:tc>
          <w:tcPr>
            <w:tcW w:w="0" w:type="auto"/>
            <w:vMerge/>
            <w:tcBorders>
              <w:top w:val="single" w:sz="4" w:space="0" w:color="auto"/>
              <w:left w:val="nil"/>
              <w:bottom w:val="nil"/>
              <w:right w:val="nil"/>
            </w:tcBorders>
            <w:vAlign w:val="center"/>
            <w:hideMark/>
          </w:tcPr>
          <w:p w14:paraId="0C212512" w14:textId="77777777" w:rsidR="0040059E" w:rsidRPr="009620E0" w:rsidRDefault="0040059E" w:rsidP="00165BBE">
            <w:pPr>
              <w:rPr>
                <w:rFonts w:ascii="Arial" w:hAnsi="Arial" w:cs="Arial"/>
                <w:sz w:val="20"/>
                <w:szCs w:val="20"/>
                <w:lang w:val="it-IT" w:eastAsia="en-GB"/>
              </w:rPr>
            </w:pPr>
          </w:p>
        </w:tc>
        <w:tc>
          <w:tcPr>
            <w:tcW w:w="1561" w:type="dxa"/>
            <w:tcBorders>
              <w:top w:val="single" w:sz="4" w:space="0" w:color="auto"/>
              <w:left w:val="nil"/>
              <w:bottom w:val="single" w:sz="4" w:space="0" w:color="auto"/>
              <w:right w:val="nil"/>
            </w:tcBorders>
            <w:vAlign w:val="center"/>
            <w:hideMark/>
          </w:tcPr>
          <w:p w14:paraId="6E97D13E" w14:textId="77777777" w:rsidR="0040059E" w:rsidRPr="009620E0" w:rsidRDefault="0040059E" w:rsidP="00165BBE">
            <w:pPr>
              <w:jc w:val="center"/>
              <w:rPr>
                <w:rFonts w:ascii="Arial" w:hAnsi="Arial" w:cs="Arial"/>
                <w:bCs/>
                <w:sz w:val="20"/>
                <w:szCs w:val="20"/>
                <w:lang w:val="en-GB" w:eastAsia="en-GB"/>
              </w:rPr>
            </w:pPr>
            <w:r w:rsidRPr="009620E0">
              <w:rPr>
                <w:rFonts w:ascii="Arial" w:hAnsi="Arial" w:cs="Arial"/>
                <w:bCs/>
                <w:sz w:val="20"/>
                <w:szCs w:val="20"/>
                <w:lang w:val="en-GB" w:eastAsia="en-GB"/>
              </w:rPr>
              <w:t>Thành lập mới</w:t>
            </w:r>
          </w:p>
        </w:tc>
        <w:tc>
          <w:tcPr>
            <w:tcW w:w="1175" w:type="dxa"/>
            <w:tcBorders>
              <w:top w:val="single" w:sz="4" w:space="0" w:color="auto"/>
              <w:left w:val="nil"/>
              <w:bottom w:val="single" w:sz="4" w:space="0" w:color="auto"/>
              <w:right w:val="nil"/>
            </w:tcBorders>
            <w:vAlign w:val="center"/>
            <w:hideMark/>
          </w:tcPr>
          <w:p w14:paraId="51433015" w14:textId="77777777" w:rsidR="0040059E" w:rsidRPr="009620E0" w:rsidRDefault="0040059E" w:rsidP="00165BBE">
            <w:pPr>
              <w:jc w:val="center"/>
              <w:rPr>
                <w:rFonts w:ascii="Arial" w:hAnsi="Arial" w:cs="Arial"/>
                <w:bCs/>
                <w:sz w:val="20"/>
                <w:szCs w:val="20"/>
                <w:lang w:val="en-GB" w:eastAsia="en-GB"/>
              </w:rPr>
            </w:pPr>
            <w:r w:rsidRPr="009620E0">
              <w:rPr>
                <w:rFonts w:ascii="Arial" w:hAnsi="Arial" w:cs="Arial"/>
                <w:bCs/>
                <w:sz w:val="20"/>
                <w:szCs w:val="20"/>
                <w:lang w:val="en-GB" w:eastAsia="en-GB"/>
              </w:rPr>
              <w:t>Giải thể</w:t>
            </w:r>
          </w:p>
        </w:tc>
        <w:tc>
          <w:tcPr>
            <w:tcW w:w="1501" w:type="dxa"/>
            <w:tcBorders>
              <w:top w:val="single" w:sz="4" w:space="0" w:color="auto"/>
              <w:left w:val="nil"/>
              <w:bottom w:val="single" w:sz="4" w:space="0" w:color="auto"/>
              <w:right w:val="nil"/>
            </w:tcBorders>
            <w:vAlign w:val="center"/>
            <w:hideMark/>
          </w:tcPr>
          <w:p w14:paraId="19987983" w14:textId="77777777" w:rsidR="0040059E" w:rsidRPr="009620E0" w:rsidRDefault="0040059E" w:rsidP="00165BBE">
            <w:pPr>
              <w:jc w:val="center"/>
              <w:rPr>
                <w:rFonts w:ascii="Arial" w:hAnsi="Arial" w:cs="Arial"/>
                <w:bCs/>
                <w:sz w:val="20"/>
                <w:szCs w:val="20"/>
                <w:lang w:val="en-GB" w:eastAsia="en-GB"/>
              </w:rPr>
            </w:pPr>
            <w:r w:rsidRPr="009620E0">
              <w:rPr>
                <w:rFonts w:ascii="Arial" w:hAnsi="Arial" w:cs="Arial"/>
                <w:bCs/>
                <w:sz w:val="20"/>
                <w:szCs w:val="20"/>
                <w:lang w:val="en-GB" w:eastAsia="en-GB"/>
              </w:rPr>
              <w:t>Thành lập mới</w:t>
            </w:r>
          </w:p>
        </w:tc>
        <w:tc>
          <w:tcPr>
            <w:tcW w:w="981" w:type="dxa"/>
            <w:tcBorders>
              <w:top w:val="single" w:sz="4" w:space="0" w:color="auto"/>
              <w:left w:val="nil"/>
              <w:bottom w:val="single" w:sz="4" w:space="0" w:color="auto"/>
              <w:right w:val="nil"/>
            </w:tcBorders>
            <w:vAlign w:val="center"/>
            <w:hideMark/>
          </w:tcPr>
          <w:p w14:paraId="097A4EF1" w14:textId="77777777" w:rsidR="0040059E" w:rsidRPr="009620E0" w:rsidRDefault="0040059E" w:rsidP="00165BBE">
            <w:pPr>
              <w:jc w:val="center"/>
              <w:rPr>
                <w:rFonts w:ascii="Arial" w:hAnsi="Arial" w:cs="Arial"/>
                <w:bCs/>
                <w:sz w:val="20"/>
                <w:szCs w:val="20"/>
                <w:lang w:val="en-GB" w:eastAsia="en-GB"/>
              </w:rPr>
            </w:pPr>
            <w:r w:rsidRPr="009620E0">
              <w:rPr>
                <w:rFonts w:ascii="Arial" w:hAnsi="Arial" w:cs="Arial"/>
                <w:bCs/>
                <w:sz w:val="20"/>
                <w:szCs w:val="20"/>
                <w:lang w:val="en-GB" w:eastAsia="en-GB"/>
              </w:rPr>
              <w:t>Giải thể</w:t>
            </w:r>
          </w:p>
        </w:tc>
      </w:tr>
      <w:tr w:rsidR="009620E0" w:rsidRPr="009620E0" w14:paraId="2E4E67F4" w14:textId="77777777" w:rsidTr="00165BBE">
        <w:trPr>
          <w:cantSplit/>
          <w:trHeight w:val="451"/>
          <w:jc w:val="center"/>
        </w:trPr>
        <w:tc>
          <w:tcPr>
            <w:tcW w:w="3934" w:type="dxa"/>
            <w:noWrap/>
            <w:vAlign w:val="bottom"/>
            <w:hideMark/>
          </w:tcPr>
          <w:p w14:paraId="2717241E"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Bán buôn, bán lẻ, sửa chữa ô tô, xe máy</w:t>
            </w:r>
          </w:p>
        </w:tc>
        <w:tc>
          <w:tcPr>
            <w:tcW w:w="1561" w:type="dxa"/>
            <w:tcBorders>
              <w:top w:val="single" w:sz="4" w:space="0" w:color="auto"/>
              <w:left w:val="nil"/>
              <w:bottom w:val="nil"/>
              <w:right w:val="nil"/>
            </w:tcBorders>
            <w:noWrap/>
            <w:vAlign w:val="bottom"/>
            <w:hideMark/>
          </w:tcPr>
          <w:p w14:paraId="3DD1531D"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8.982</w:t>
            </w:r>
          </w:p>
        </w:tc>
        <w:tc>
          <w:tcPr>
            <w:tcW w:w="1175" w:type="dxa"/>
            <w:tcBorders>
              <w:top w:val="single" w:sz="4" w:space="0" w:color="auto"/>
              <w:left w:val="nil"/>
              <w:bottom w:val="nil"/>
              <w:right w:val="nil"/>
            </w:tcBorders>
            <w:noWrap/>
            <w:vAlign w:val="bottom"/>
            <w:hideMark/>
          </w:tcPr>
          <w:p w14:paraId="226E4C90"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1.370</w:t>
            </w:r>
          </w:p>
        </w:tc>
        <w:tc>
          <w:tcPr>
            <w:tcW w:w="1501" w:type="dxa"/>
            <w:tcBorders>
              <w:top w:val="single" w:sz="4" w:space="0" w:color="auto"/>
              <w:left w:val="nil"/>
              <w:bottom w:val="nil"/>
              <w:right w:val="nil"/>
            </w:tcBorders>
            <w:noWrap/>
            <w:vAlign w:val="bottom"/>
            <w:hideMark/>
          </w:tcPr>
          <w:p w14:paraId="7C7BFFA8"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20,2</w:t>
            </w:r>
          </w:p>
        </w:tc>
        <w:tc>
          <w:tcPr>
            <w:tcW w:w="981" w:type="dxa"/>
            <w:tcBorders>
              <w:top w:val="single" w:sz="4" w:space="0" w:color="auto"/>
              <w:left w:val="nil"/>
              <w:bottom w:val="nil"/>
              <w:right w:val="nil"/>
            </w:tcBorders>
            <w:noWrap/>
            <w:vAlign w:val="bottom"/>
            <w:hideMark/>
          </w:tcPr>
          <w:p w14:paraId="3C0BDDF2"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23,6</w:t>
            </w:r>
          </w:p>
        </w:tc>
      </w:tr>
      <w:tr w:rsidR="009620E0" w:rsidRPr="009620E0" w14:paraId="448BC36F" w14:textId="77777777" w:rsidTr="00165BBE">
        <w:trPr>
          <w:cantSplit/>
          <w:trHeight w:val="363"/>
          <w:jc w:val="center"/>
        </w:trPr>
        <w:tc>
          <w:tcPr>
            <w:tcW w:w="3934" w:type="dxa"/>
            <w:noWrap/>
            <w:vAlign w:val="bottom"/>
            <w:hideMark/>
          </w:tcPr>
          <w:p w14:paraId="10F6C9B8"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Công nghiệp chế biến chế tạo</w:t>
            </w:r>
          </w:p>
        </w:tc>
        <w:tc>
          <w:tcPr>
            <w:tcW w:w="1561" w:type="dxa"/>
            <w:noWrap/>
            <w:vAlign w:val="bottom"/>
            <w:hideMark/>
          </w:tcPr>
          <w:p w14:paraId="66A555A8"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2.662</w:t>
            </w:r>
          </w:p>
        </w:tc>
        <w:tc>
          <w:tcPr>
            <w:tcW w:w="1175" w:type="dxa"/>
            <w:noWrap/>
            <w:vAlign w:val="bottom"/>
            <w:hideMark/>
          </w:tcPr>
          <w:p w14:paraId="6FD4089D"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409</w:t>
            </w:r>
          </w:p>
        </w:tc>
        <w:tc>
          <w:tcPr>
            <w:tcW w:w="1501" w:type="dxa"/>
            <w:noWrap/>
            <w:vAlign w:val="bottom"/>
            <w:hideMark/>
          </w:tcPr>
          <w:p w14:paraId="345B4F2B"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17,4</w:t>
            </w:r>
          </w:p>
        </w:tc>
        <w:tc>
          <w:tcPr>
            <w:tcW w:w="981" w:type="dxa"/>
            <w:noWrap/>
            <w:vAlign w:val="bottom"/>
            <w:hideMark/>
          </w:tcPr>
          <w:p w14:paraId="2DF90043"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12,1</w:t>
            </w:r>
          </w:p>
        </w:tc>
      </w:tr>
      <w:tr w:rsidR="009620E0" w:rsidRPr="009620E0" w14:paraId="205BAD51" w14:textId="77777777" w:rsidTr="00165BBE">
        <w:trPr>
          <w:cantSplit/>
          <w:trHeight w:val="363"/>
          <w:jc w:val="center"/>
        </w:trPr>
        <w:tc>
          <w:tcPr>
            <w:tcW w:w="3934" w:type="dxa"/>
            <w:noWrap/>
            <w:vAlign w:val="bottom"/>
            <w:hideMark/>
          </w:tcPr>
          <w:p w14:paraId="40D562E6"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Xây dựng</w:t>
            </w:r>
          </w:p>
        </w:tc>
        <w:tc>
          <w:tcPr>
            <w:tcW w:w="1561" w:type="dxa"/>
            <w:noWrap/>
            <w:vAlign w:val="bottom"/>
            <w:hideMark/>
          </w:tcPr>
          <w:p w14:paraId="553FE8C5"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2.346</w:t>
            </w:r>
          </w:p>
        </w:tc>
        <w:tc>
          <w:tcPr>
            <w:tcW w:w="1175" w:type="dxa"/>
            <w:noWrap/>
            <w:vAlign w:val="bottom"/>
            <w:hideMark/>
          </w:tcPr>
          <w:p w14:paraId="0FD1B7E5"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276</w:t>
            </w:r>
          </w:p>
        </w:tc>
        <w:tc>
          <w:tcPr>
            <w:tcW w:w="1501" w:type="dxa"/>
            <w:noWrap/>
            <w:vAlign w:val="bottom"/>
            <w:hideMark/>
          </w:tcPr>
          <w:p w14:paraId="7B887600"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6,8</w:t>
            </w:r>
          </w:p>
        </w:tc>
        <w:tc>
          <w:tcPr>
            <w:tcW w:w="981" w:type="dxa"/>
            <w:noWrap/>
            <w:vAlign w:val="bottom"/>
            <w:hideMark/>
          </w:tcPr>
          <w:p w14:paraId="3D23C57A"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5,3</w:t>
            </w:r>
          </w:p>
        </w:tc>
      </w:tr>
      <w:tr w:rsidR="009620E0" w:rsidRPr="009620E0" w14:paraId="199F9B68" w14:textId="77777777" w:rsidTr="00165BBE">
        <w:trPr>
          <w:cantSplit/>
          <w:trHeight w:val="363"/>
          <w:jc w:val="center"/>
        </w:trPr>
        <w:tc>
          <w:tcPr>
            <w:tcW w:w="3934" w:type="dxa"/>
            <w:noWrap/>
            <w:vAlign w:val="bottom"/>
            <w:hideMark/>
          </w:tcPr>
          <w:p w14:paraId="7814C7A7"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Kinh doanh bất động sản</w:t>
            </w:r>
          </w:p>
        </w:tc>
        <w:tc>
          <w:tcPr>
            <w:tcW w:w="1561" w:type="dxa"/>
            <w:noWrap/>
            <w:vAlign w:val="bottom"/>
            <w:hideMark/>
          </w:tcPr>
          <w:p w14:paraId="503C3998"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552</w:t>
            </w:r>
          </w:p>
        </w:tc>
        <w:tc>
          <w:tcPr>
            <w:tcW w:w="1175" w:type="dxa"/>
            <w:noWrap/>
            <w:vAlign w:val="bottom"/>
            <w:hideMark/>
          </w:tcPr>
          <w:p w14:paraId="317A53A9"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248</w:t>
            </w:r>
          </w:p>
        </w:tc>
        <w:tc>
          <w:tcPr>
            <w:tcW w:w="1501" w:type="dxa"/>
            <w:noWrap/>
            <w:vAlign w:val="bottom"/>
            <w:hideMark/>
          </w:tcPr>
          <w:p w14:paraId="3CE85343"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0,4</w:t>
            </w:r>
          </w:p>
        </w:tc>
        <w:tc>
          <w:tcPr>
            <w:tcW w:w="981" w:type="dxa"/>
            <w:noWrap/>
            <w:vAlign w:val="bottom"/>
            <w:hideMark/>
          </w:tcPr>
          <w:p w14:paraId="37CEF527"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5,5</w:t>
            </w:r>
          </w:p>
        </w:tc>
      </w:tr>
      <w:tr w:rsidR="009620E0" w:rsidRPr="009620E0" w14:paraId="135EB2CA" w14:textId="77777777" w:rsidTr="00165BBE">
        <w:trPr>
          <w:cantSplit/>
          <w:trHeight w:val="363"/>
          <w:jc w:val="center"/>
        </w:trPr>
        <w:tc>
          <w:tcPr>
            <w:tcW w:w="3934" w:type="dxa"/>
            <w:noWrap/>
            <w:vAlign w:val="bottom"/>
            <w:hideMark/>
          </w:tcPr>
          <w:p w14:paraId="1B19AE23"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Vận tải kho bãi</w:t>
            </w:r>
          </w:p>
        </w:tc>
        <w:tc>
          <w:tcPr>
            <w:tcW w:w="1561" w:type="dxa"/>
            <w:noWrap/>
            <w:vAlign w:val="bottom"/>
            <w:hideMark/>
          </w:tcPr>
          <w:p w14:paraId="433A47E3" w14:textId="37B9E4B0"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w:t>
            </w:r>
            <w:r w:rsidR="007C547D" w:rsidRPr="009620E0">
              <w:rPr>
                <w:rFonts w:ascii="Arial" w:hAnsi="Arial" w:cs="Arial"/>
                <w:sz w:val="20"/>
                <w:szCs w:val="20"/>
                <w:lang w:val="en-GB" w:eastAsia="en-GB"/>
              </w:rPr>
              <w:t>.</w:t>
            </w:r>
            <w:r w:rsidRPr="009620E0">
              <w:rPr>
                <w:rFonts w:ascii="Arial" w:hAnsi="Arial" w:cs="Arial"/>
                <w:sz w:val="20"/>
                <w:szCs w:val="20"/>
                <w:lang w:val="en-GB" w:eastAsia="en-GB"/>
              </w:rPr>
              <w:t>136</w:t>
            </w:r>
          </w:p>
        </w:tc>
        <w:tc>
          <w:tcPr>
            <w:tcW w:w="1175" w:type="dxa"/>
            <w:noWrap/>
            <w:vAlign w:val="bottom"/>
            <w:hideMark/>
          </w:tcPr>
          <w:p w14:paraId="2DE49AC5"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148</w:t>
            </w:r>
          </w:p>
        </w:tc>
        <w:tc>
          <w:tcPr>
            <w:tcW w:w="1501" w:type="dxa"/>
            <w:noWrap/>
            <w:vAlign w:val="bottom"/>
            <w:hideMark/>
          </w:tcPr>
          <w:p w14:paraId="36124019"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26,5</w:t>
            </w:r>
          </w:p>
        </w:tc>
        <w:tc>
          <w:tcPr>
            <w:tcW w:w="981" w:type="dxa"/>
            <w:noWrap/>
            <w:vAlign w:val="bottom"/>
            <w:hideMark/>
          </w:tcPr>
          <w:p w14:paraId="7531D253"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13,8</w:t>
            </w:r>
          </w:p>
        </w:tc>
      </w:tr>
      <w:tr w:rsidR="009620E0" w:rsidRPr="009620E0" w14:paraId="5E60E16B" w14:textId="77777777" w:rsidTr="00165BBE">
        <w:trPr>
          <w:cantSplit/>
          <w:trHeight w:val="363"/>
          <w:jc w:val="center"/>
        </w:trPr>
        <w:tc>
          <w:tcPr>
            <w:tcW w:w="3934" w:type="dxa"/>
            <w:noWrap/>
            <w:vAlign w:val="bottom"/>
            <w:hideMark/>
          </w:tcPr>
          <w:p w14:paraId="32FDB3F1"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Dịch vụ lưu trú và ăn uống</w:t>
            </w:r>
          </w:p>
        </w:tc>
        <w:tc>
          <w:tcPr>
            <w:tcW w:w="1561" w:type="dxa"/>
            <w:noWrap/>
            <w:vAlign w:val="bottom"/>
            <w:hideMark/>
          </w:tcPr>
          <w:p w14:paraId="49ED061B"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867</w:t>
            </w:r>
          </w:p>
        </w:tc>
        <w:tc>
          <w:tcPr>
            <w:tcW w:w="1175" w:type="dxa"/>
            <w:noWrap/>
            <w:vAlign w:val="bottom"/>
            <w:hideMark/>
          </w:tcPr>
          <w:p w14:paraId="251026AE"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162</w:t>
            </w:r>
          </w:p>
        </w:tc>
        <w:tc>
          <w:tcPr>
            <w:tcW w:w="1501" w:type="dxa"/>
            <w:noWrap/>
            <w:vAlign w:val="bottom"/>
            <w:hideMark/>
          </w:tcPr>
          <w:p w14:paraId="77A8B820"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-8,7</w:t>
            </w:r>
          </w:p>
        </w:tc>
        <w:tc>
          <w:tcPr>
            <w:tcW w:w="981" w:type="dxa"/>
            <w:noWrap/>
            <w:vAlign w:val="bottom"/>
            <w:hideMark/>
          </w:tcPr>
          <w:p w14:paraId="1EAC9871"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1,9</w:t>
            </w:r>
          </w:p>
        </w:tc>
      </w:tr>
      <w:tr w:rsidR="009620E0" w:rsidRPr="009620E0" w14:paraId="6C70FD82" w14:textId="77777777" w:rsidTr="00165BBE">
        <w:trPr>
          <w:cantSplit/>
          <w:trHeight w:val="363"/>
          <w:jc w:val="center"/>
        </w:trPr>
        <w:tc>
          <w:tcPr>
            <w:tcW w:w="3934" w:type="dxa"/>
            <w:tcBorders>
              <w:top w:val="nil"/>
              <w:left w:val="nil"/>
              <w:bottom w:val="single" w:sz="4" w:space="0" w:color="auto"/>
              <w:right w:val="nil"/>
            </w:tcBorders>
            <w:noWrap/>
            <w:vAlign w:val="bottom"/>
            <w:hideMark/>
          </w:tcPr>
          <w:p w14:paraId="45B4B2D1" w14:textId="77777777" w:rsidR="0040059E" w:rsidRPr="009620E0" w:rsidRDefault="0040059E" w:rsidP="00165BBE">
            <w:pPr>
              <w:rPr>
                <w:rFonts w:ascii="Arial" w:hAnsi="Arial" w:cs="Arial"/>
                <w:sz w:val="20"/>
                <w:szCs w:val="20"/>
                <w:lang w:val="en-GB" w:eastAsia="en-GB"/>
              </w:rPr>
            </w:pPr>
            <w:r w:rsidRPr="009620E0">
              <w:rPr>
                <w:rFonts w:ascii="Arial" w:hAnsi="Arial" w:cs="Arial"/>
                <w:sz w:val="20"/>
                <w:szCs w:val="20"/>
                <w:lang w:val="en-GB" w:eastAsia="en-GB"/>
              </w:rPr>
              <w:t>Sản xuất phân phối, điện, nước, gas</w:t>
            </w:r>
          </w:p>
        </w:tc>
        <w:tc>
          <w:tcPr>
            <w:tcW w:w="1561" w:type="dxa"/>
            <w:tcBorders>
              <w:top w:val="nil"/>
              <w:left w:val="nil"/>
              <w:bottom w:val="single" w:sz="4" w:space="0" w:color="auto"/>
              <w:right w:val="nil"/>
            </w:tcBorders>
            <w:noWrap/>
            <w:vAlign w:val="bottom"/>
            <w:hideMark/>
          </w:tcPr>
          <w:p w14:paraId="403CD9D0"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148</w:t>
            </w:r>
          </w:p>
        </w:tc>
        <w:tc>
          <w:tcPr>
            <w:tcW w:w="1175" w:type="dxa"/>
            <w:tcBorders>
              <w:top w:val="nil"/>
              <w:left w:val="nil"/>
              <w:bottom w:val="single" w:sz="4" w:space="0" w:color="auto"/>
              <w:right w:val="nil"/>
            </w:tcBorders>
            <w:noWrap/>
            <w:vAlign w:val="bottom"/>
            <w:hideMark/>
          </w:tcPr>
          <w:p w14:paraId="797CCAE3"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47</w:t>
            </w:r>
          </w:p>
        </w:tc>
        <w:tc>
          <w:tcPr>
            <w:tcW w:w="1501" w:type="dxa"/>
            <w:tcBorders>
              <w:top w:val="nil"/>
              <w:left w:val="nil"/>
              <w:bottom w:val="single" w:sz="4" w:space="0" w:color="auto"/>
              <w:right w:val="nil"/>
            </w:tcBorders>
            <w:noWrap/>
            <w:vAlign w:val="bottom"/>
            <w:hideMark/>
          </w:tcPr>
          <w:p w14:paraId="43806DDC" w14:textId="77777777" w:rsidR="0040059E" w:rsidRPr="009620E0" w:rsidRDefault="0040059E" w:rsidP="00165BBE">
            <w:pPr>
              <w:ind w:right="316"/>
              <w:jc w:val="right"/>
              <w:rPr>
                <w:rFonts w:ascii="Arial" w:hAnsi="Arial" w:cs="Arial"/>
                <w:sz w:val="20"/>
                <w:szCs w:val="20"/>
                <w:lang w:val="en-GB" w:eastAsia="en-GB"/>
              </w:rPr>
            </w:pPr>
            <w:r w:rsidRPr="009620E0">
              <w:rPr>
                <w:rFonts w:ascii="Arial" w:hAnsi="Arial" w:cs="Arial"/>
                <w:sz w:val="20"/>
                <w:szCs w:val="20"/>
                <w:lang w:val="en-GB" w:eastAsia="en-GB"/>
              </w:rPr>
              <w:t>-0,7</w:t>
            </w:r>
          </w:p>
        </w:tc>
        <w:tc>
          <w:tcPr>
            <w:tcW w:w="981" w:type="dxa"/>
            <w:tcBorders>
              <w:top w:val="nil"/>
              <w:left w:val="nil"/>
              <w:bottom w:val="single" w:sz="4" w:space="0" w:color="auto"/>
              <w:right w:val="nil"/>
            </w:tcBorders>
            <w:noWrap/>
            <w:vAlign w:val="bottom"/>
            <w:hideMark/>
          </w:tcPr>
          <w:p w14:paraId="31037374" w14:textId="77777777" w:rsidR="0040059E" w:rsidRPr="009620E0" w:rsidRDefault="0040059E" w:rsidP="00165BBE">
            <w:pPr>
              <w:ind w:right="176"/>
              <w:jc w:val="right"/>
              <w:rPr>
                <w:rFonts w:ascii="Arial" w:hAnsi="Arial" w:cs="Arial"/>
                <w:sz w:val="20"/>
                <w:szCs w:val="20"/>
                <w:lang w:val="en-GB" w:eastAsia="en-GB"/>
              </w:rPr>
            </w:pPr>
            <w:r w:rsidRPr="009620E0">
              <w:rPr>
                <w:rFonts w:ascii="Arial" w:hAnsi="Arial" w:cs="Arial"/>
                <w:sz w:val="20"/>
                <w:szCs w:val="20"/>
                <w:lang w:val="en-GB" w:eastAsia="en-GB"/>
              </w:rPr>
              <w:t>-33,8</w:t>
            </w:r>
          </w:p>
        </w:tc>
      </w:tr>
    </w:tbl>
    <w:p w14:paraId="19786351" w14:textId="77777777" w:rsidR="00865420" w:rsidRPr="009620E0" w:rsidRDefault="00865420" w:rsidP="00C77156">
      <w:pPr>
        <w:spacing w:before="120" w:after="120" w:line="264" w:lineRule="auto"/>
        <w:ind w:firstLine="567"/>
        <w:rPr>
          <w:b/>
          <w:bCs/>
          <w:lang w:val="af-ZA"/>
        </w:rPr>
      </w:pPr>
      <w:r w:rsidRPr="009620E0">
        <w:rPr>
          <w:b/>
          <w:bCs/>
          <w:lang w:val="af-ZA"/>
        </w:rPr>
        <w:t>4. Đầu tư</w:t>
      </w:r>
    </w:p>
    <w:p w14:paraId="3A86DEC3" w14:textId="6A6748C6" w:rsidR="00865420" w:rsidRPr="009620E0" w:rsidRDefault="00865420" w:rsidP="00093E9A">
      <w:pPr>
        <w:spacing w:after="120" w:line="264" w:lineRule="auto"/>
        <w:ind w:firstLine="567"/>
        <w:jc w:val="both"/>
        <w:rPr>
          <w:bCs/>
          <w:i/>
          <w:spacing w:val="-4"/>
        </w:rPr>
      </w:pPr>
      <w:r w:rsidRPr="009620E0">
        <w:rPr>
          <w:i/>
          <w:spacing w:val="-4"/>
          <w:lang w:val="it-IT"/>
        </w:rPr>
        <w:t xml:space="preserve">Vốn đầu tư từ nguồn ngân sách Nhà nước tháng Hai </w:t>
      </w:r>
      <w:r w:rsidRPr="009620E0">
        <w:rPr>
          <w:bCs/>
          <w:i/>
          <w:spacing w:val="-4"/>
          <w:lang w:val="nl-NL"/>
        </w:rPr>
        <w:t xml:space="preserve">được các Bộ, ngành và địa phương </w:t>
      </w:r>
      <w:r w:rsidRPr="009620E0">
        <w:rPr>
          <w:i/>
          <w:spacing w:val="-4"/>
          <w:lang w:val="nl-NL"/>
        </w:rPr>
        <w:t>tập trung triển khai công việc ngay sau kỳ nghỉ Tết Nguyên đán, đẩy nhanh tiến độ thực hiện các dự án đầu tư công ngay từ các tháng đầu năm, đặc biệt là các dự án chuyển tiếp. T</w:t>
      </w:r>
      <w:r w:rsidRPr="009620E0">
        <w:rPr>
          <w:i/>
          <w:spacing w:val="-4"/>
          <w:lang w:val="it-IT"/>
        </w:rPr>
        <w:t xml:space="preserve">ính chung </w:t>
      </w:r>
      <w:r w:rsidR="007C547D" w:rsidRPr="009620E0">
        <w:rPr>
          <w:i/>
          <w:spacing w:val="-4"/>
          <w:lang w:val="it-IT"/>
        </w:rPr>
        <w:t>2</w:t>
      </w:r>
      <w:r w:rsidRPr="009620E0">
        <w:rPr>
          <w:i/>
          <w:spacing w:val="-4"/>
          <w:lang w:val="it-IT"/>
        </w:rPr>
        <w:t xml:space="preserve"> tháng đầu năm 2024, vốn đầu tư thực hiện từ nguồn ngân sách Nhà nước ước đạt 8,4% kế hoạch, tăng 2,1% so với cùng kỳ năm trước. Vốn đầu tư trực tiếp nước ngoài (FDI) </w:t>
      </w:r>
      <w:r w:rsidR="00E76683" w:rsidRPr="009620E0">
        <w:rPr>
          <w:i/>
          <w:spacing w:val="-4"/>
          <w:lang w:val="it-IT"/>
        </w:rPr>
        <w:t xml:space="preserve">thực hiện tại Việt Nam </w:t>
      </w:r>
      <w:r w:rsidR="007C547D" w:rsidRPr="009620E0">
        <w:rPr>
          <w:i/>
          <w:spacing w:val="-4"/>
          <w:lang w:val="it-IT"/>
        </w:rPr>
        <w:t>2</w:t>
      </w:r>
      <w:r w:rsidR="00E76683" w:rsidRPr="009620E0">
        <w:rPr>
          <w:i/>
          <w:spacing w:val="-4"/>
          <w:lang w:val="it-IT"/>
        </w:rPr>
        <w:t xml:space="preserve"> tháng </w:t>
      </w:r>
      <w:r w:rsidR="001836D2" w:rsidRPr="009620E0">
        <w:rPr>
          <w:i/>
          <w:spacing w:val="-4"/>
          <w:lang w:val="it-IT"/>
        </w:rPr>
        <w:t xml:space="preserve">đầu năm 2024 </w:t>
      </w:r>
      <w:r w:rsidR="00E76683" w:rsidRPr="009620E0">
        <w:rPr>
          <w:i/>
          <w:spacing w:val="-4"/>
          <w:lang w:val="it-IT"/>
        </w:rPr>
        <w:t>ước đạt 2,8 tỷ USD tăng 9,8% so với cùng kỳ năm trước</w:t>
      </w:r>
      <w:r w:rsidRPr="009620E0">
        <w:rPr>
          <w:i/>
          <w:iCs/>
          <w:spacing w:val="-4"/>
          <w:lang w:val="de-DE"/>
        </w:rPr>
        <w:t>.</w:t>
      </w:r>
    </w:p>
    <w:p w14:paraId="631CAB7D" w14:textId="175FD1F6" w:rsidR="00865420" w:rsidRPr="009620E0" w:rsidRDefault="00865420" w:rsidP="00093E9A">
      <w:pPr>
        <w:spacing w:after="120" w:line="264" w:lineRule="auto"/>
        <w:ind w:firstLine="567"/>
        <w:jc w:val="both"/>
        <w:rPr>
          <w:lang w:val="af-ZA"/>
        </w:rPr>
      </w:pPr>
      <w:r w:rsidRPr="009620E0">
        <w:rPr>
          <w:lang w:val="af-ZA"/>
        </w:rPr>
        <w:t xml:space="preserve">Vốn đầu tư thực hiện từ nguồn ngân sách Nhà nước tháng Hai ước đạt 26,9 nghìn tỷ đồng, giảm 13,1% so với cùng kỳ năm trước, bao gồm: Vốn Trung ương quản lý đạt 4,7 nghìn tỷ đồng, giảm 20,7%; vốn địa phương quản lý 22,2 nghìn tỷ đồng, giảm 11,3%. Tính chung </w:t>
      </w:r>
      <w:r w:rsidR="007C547D" w:rsidRPr="009620E0">
        <w:rPr>
          <w:lang w:val="af-ZA"/>
        </w:rPr>
        <w:t>2</w:t>
      </w:r>
      <w:r w:rsidRPr="009620E0">
        <w:rPr>
          <w:lang w:val="af-ZA"/>
        </w:rPr>
        <w:t xml:space="preserve"> tháng đầu năm 2024, vốn đầu tư thực hiện từ nguồn ngân sách Nhà nước ước đạt hơn 59,8 nghìn tỷ đồng, bằng 8,4% kế hoạch năm và tăng 2,1% so với cùng kỳ năm trước (cùng kỳ năm 2023 bằng 8% và tăng 21,8%). Cụ thể:</w:t>
      </w:r>
    </w:p>
    <w:p w14:paraId="5DEBD3A5" w14:textId="77777777" w:rsidR="00865420" w:rsidRPr="009620E0" w:rsidRDefault="00865420" w:rsidP="00093E9A">
      <w:pPr>
        <w:spacing w:after="120" w:line="264" w:lineRule="auto"/>
        <w:ind w:firstLine="567"/>
        <w:jc w:val="both"/>
        <w:rPr>
          <w:b/>
          <w:bCs/>
          <w:lang w:val="af-ZA"/>
        </w:rPr>
      </w:pPr>
      <w:r w:rsidRPr="009620E0">
        <w:rPr>
          <w:bCs/>
          <w:iCs/>
          <w:lang w:val="af-ZA"/>
        </w:rPr>
        <w:t>- Vốn đầu tư thực hiện do Trung ương quản lý ước đạt 9,5 nghìn tỷ đồng, bằng 8% kế hoạch năm và giảm 8,8% so với cùng kỳ năm trước.</w:t>
      </w:r>
    </w:p>
    <w:p w14:paraId="3B2336BC" w14:textId="77777777" w:rsidR="00865420" w:rsidRPr="009620E0" w:rsidRDefault="00865420" w:rsidP="00865420">
      <w:pPr>
        <w:spacing w:line="276" w:lineRule="auto"/>
        <w:jc w:val="center"/>
        <w:rPr>
          <w:rFonts w:ascii="Arial" w:hAnsi="Arial" w:cs="Arial"/>
          <w:b/>
          <w:bCs/>
          <w:sz w:val="24"/>
          <w:szCs w:val="24"/>
          <w:lang w:val="af-ZA"/>
        </w:rPr>
      </w:pPr>
      <w:r w:rsidRPr="009620E0">
        <w:rPr>
          <w:rFonts w:ascii="Arial" w:hAnsi="Arial" w:cs="Arial"/>
          <w:b/>
          <w:bCs/>
          <w:sz w:val="24"/>
          <w:szCs w:val="24"/>
          <w:lang w:val="af-ZA"/>
        </w:rPr>
        <w:lastRenderedPageBreak/>
        <w:t>Hình 6. Vốn đầu tư thực hiện từ nguồn ngân sách Nhà nước</w:t>
      </w:r>
    </w:p>
    <w:p w14:paraId="50F7A350" w14:textId="520691C6" w:rsidR="00865420" w:rsidRPr="009620E0" w:rsidRDefault="007C547D" w:rsidP="00865420">
      <w:pPr>
        <w:spacing w:line="276" w:lineRule="auto"/>
        <w:jc w:val="center"/>
        <w:rPr>
          <w:rFonts w:ascii="Arial" w:hAnsi="Arial" w:cs="Arial"/>
          <w:b/>
          <w:bCs/>
          <w:sz w:val="24"/>
          <w:szCs w:val="24"/>
          <w:lang w:val="af-ZA"/>
        </w:rPr>
      </w:pPr>
      <w:r w:rsidRPr="009620E0">
        <w:rPr>
          <w:rFonts w:ascii="Arial" w:hAnsi="Arial" w:cs="Arial"/>
          <w:b/>
          <w:bCs/>
          <w:sz w:val="24"/>
          <w:szCs w:val="24"/>
          <w:lang w:val="af-ZA"/>
        </w:rPr>
        <w:t>2</w:t>
      </w:r>
      <w:r w:rsidR="00865420" w:rsidRPr="009620E0">
        <w:rPr>
          <w:rFonts w:ascii="Arial" w:hAnsi="Arial" w:cs="Arial"/>
          <w:b/>
          <w:bCs/>
          <w:sz w:val="24"/>
          <w:szCs w:val="24"/>
          <w:lang w:val="af-ZA"/>
        </w:rPr>
        <w:t xml:space="preserve"> tháng đầu năm phân theo Bộ, ngành</w:t>
      </w:r>
    </w:p>
    <w:p w14:paraId="474105CF" w14:textId="46E5A55A" w:rsidR="00865420" w:rsidRPr="009620E0" w:rsidRDefault="00C77156" w:rsidP="00865420">
      <w:pPr>
        <w:spacing w:line="276" w:lineRule="auto"/>
        <w:jc w:val="center"/>
        <w:rPr>
          <w:rFonts w:ascii="Arial" w:hAnsi="Arial" w:cs="Arial"/>
          <w:b/>
          <w:bCs/>
          <w:sz w:val="24"/>
          <w:szCs w:val="24"/>
          <w:lang w:val="af-ZA"/>
        </w:rPr>
      </w:pPr>
      <w:r w:rsidRPr="009620E0">
        <w:rPr>
          <w:noProof/>
        </w:rPr>
        <w:drawing>
          <wp:inline distT="0" distB="0" distL="0" distR="0" wp14:anchorId="02ED94A1" wp14:editId="59723FB2">
            <wp:extent cx="5699760" cy="2926080"/>
            <wp:effectExtent l="0" t="0" r="15240" b="7620"/>
            <wp:docPr id="7" name="Chart 7">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822336" w14:textId="77777777" w:rsidR="00865420" w:rsidRPr="009620E0" w:rsidRDefault="00865420" w:rsidP="00093E9A">
      <w:pPr>
        <w:spacing w:after="120" w:line="264" w:lineRule="auto"/>
        <w:ind w:firstLine="567"/>
        <w:jc w:val="both"/>
        <w:rPr>
          <w:bCs/>
          <w:iCs/>
          <w:lang w:val="af-ZA"/>
        </w:rPr>
      </w:pPr>
      <w:r w:rsidRPr="009620E0">
        <w:rPr>
          <w:bCs/>
          <w:iCs/>
          <w:lang w:val="af-ZA"/>
        </w:rPr>
        <w:t>- Vốn đầu tư thực hiện do địa phương quản lý ước đạt 50,3 nghìn tỷ đồng, bằng 8,5% kế hoạch năm và tăng 4,4% so với cùng kỳ năm trước, trong đó:</w:t>
      </w:r>
    </w:p>
    <w:p w14:paraId="058DBD71" w14:textId="77777777" w:rsidR="00865420" w:rsidRPr="009620E0" w:rsidRDefault="00865420" w:rsidP="00093E9A">
      <w:pPr>
        <w:spacing w:after="120" w:line="264" w:lineRule="auto"/>
        <w:ind w:firstLine="567"/>
        <w:jc w:val="both"/>
        <w:rPr>
          <w:bCs/>
          <w:iCs/>
          <w:lang w:val="af-ZA"/>
        </w:rPr>
      </w:pPr>
      <w:r w:rsidRPr="009620E0">
        <w:rPr>
          <w:bCs/>
          <w:iCs/>
          <w:lang w:val="af-ZA"/>
        </w:rPr>
        <w:t>Vốn ngân sách Nhà nước cấp tỉnh đạt 33,3 nghìn tỷ đồng, bằng 7,9% và tăng 3,1% so với cùng kỳ năm 2023;</w:t>
      </w:r>
    </w:p>
    <w:p w14:paraId="29A93E0B" w14:textId="77777777" w:rsidR="00865420" w:rsidRPr="009620E0" w:rsidRDefault="00865420" w:rsidP="00093E9A">
      <w:pPr>
        <w:pStyle w:val="ListParagraph"/>
        <w:spacing w:after="120" w:line="264" w:lineRule="auto"/>
        <w:ind w:left="0" w:firstLine="567"/>
        <w:contextualSpacing w:val="0"/>
        <w:jc w:val="both"/>
        <w:rPr>
          <w:bCs/>
          <w:iCs/>
          <w:lang w:val="af-ZA"/>
        </w:rPr>
      </w:pPr>
      <w:r w:rsidRPr="009620E0">
        <w:rPr>
          <w:bCs/>
          <w:iCs/>
          <w:lang w:val="af-ZA"/>
        </w:rPr>
        <w:t>Vốn ngân sách Nhà nước cấp huyện đạt 14,7 nghìn tỷ đồng, bằng 9,7% và tăng 7%;</w:t>
      </w:r>
    </w:p>
    <w:p w14:paraId="5CBDE2FE" w14:textId="178D2CF1" w:rsidR="00865420" w:rsidRPr="009620E0" w:rsidRDefault="00865420" w:rsidP="00093E9A">
      <w:pPr>
        <w:pStyle w:val="ListParagraph"/>
        <w:spacing w:after="120" w:line="264" w:lineRule="auto"/>
        <w:ind w:left="0" w:firstLine="567"/>
        <w:contextualSpacing w:val="0"/>
        <w:jc w:val="both"/>
        <w:rPr>
          <w:rFonts w:eastAsia="Times New Roman"/>
          <w:bCs/>
          <w:iCs/>
          <w:lang w:val="af-ZA"/>
        </w:rPr>
      </w:pPr>
      <w:r w:rsidRPr="009620E0">
        <w:rPr>
          <w:rFonts w:eastAsia="Times New Roman"/>
          <w:bCs/>
          <w:iCs/>
          <w:lang w:val="af-ZA"/>
        </w:rPr>
        <w:t xml:space="preserve">Vốn ngân sách Nhà nước cấp xã đạt 2,3 nghìn tỷ đồng, bằng 11,2% và </w:t>
      </w:r>
      <w:r w:rsidR="00093E9A" w:rsidRPr="009620E0">
        <w:rPr>
          <w:rFonts w:eastAsia="Times New Roman"/>
          <w:bCs/>
          <w:iCs/>
          <w:lang w:val="af-ZA"/>
        </w:rPr>
        <w:br/>
      </w:r>
      <w:r w:rsidRPr="009620E0">
        <w:rPr>
          <w:rFonts w:eastAsia="Times New Roman"/>
          <w:bCs/>
          <w:iCs/>
          <w:lang w:val="af-ZA"/>
        </w:rPr>
        <w:t>tăng 6,5%.</w:t>
      </w:r>
    </w:p>
    <w:p w14:paraId="7436DA7E" w14:textId="611336BD" w:rsidR="00865420" w:rsidRPr="009620E0" w:rsidRDefault="00865420" w:rsidP="00093E9A">
      <w:pPr>
        <w:spacing w:after="120" w:line="264" w:lineRule="auto"/>
        <w:ind w:firstLine="567"/>
        <w:jc w:val="both"/>
        <w:rPr>
          <w:rFonts w:ascii="Arial" w:hAnsi="Arial" w:cs="Arial"/>
          <w:b/>
          <w:bCs/>
          <w:sz w:val="24"/>
          <w:szCs w:val="24"/>
          <w:lang w:val="af-ZA"/>
        </w:rPr>
      </w:pPr>
      <w:r w:rsidRPr="009620E0">
        <w:rPr>
          <w:bCs/>
          <w:iCs/>
          <w:lang w:val="af-ZA"/>
        </w:rPr>
        <w:t xml:space="preserve">Vốn đầu tư thực hiện từ nguồn ngân sách Nhà nước </w:t>
      </w:r>
      <w:r w:rsidR="007C547D" w:rsidRPr="009620E0">
        <w:rPr>
          <w:bCs/>
          <w:iCs/>
          <w:lang w:val="af-ZA"/>
        </w:rPr>
        <w:t>2</w:t>
      </w:r>
      <w:r w:rsidRPr="009620E0">
        <w:rPr>
          <w:bCs/>
          <w:iCs/>
          <w:lang w:val="af-ZA"/>
        </w:rPr>
        <w:t xml:space="preserve"> tháng đầu năm 2024 của một số tỉnh, thành phố trực thuộc Trung ương như sau:</w:t>
      </w:r>
    </w:p>
    <w:p w14:paraId="7768F9D3" w14:textId="77777777" w:rsidR="00865420" w:rsidRPr="009620E0" w:rsidRDefault="00865420" w:rsidP="00865420">
      <w:pPr>
        <w:spacing w:line="276" w:lineRule="auto"/>
        <w:jc w:val="center"/>
        <w:rPr>
          <w:rFonts w:ascii="Arial" w:hAnsi="Arial" w:cs="Arial"/>
          <w:b/>
          <w:bCs/>
          <w:sz w:val="24"/>
          <w:szCs w:val="24"/>
          <w:lang w:val="af-ZA"/>
        </w:rPr>
      </w:pPr>
      <w:r w:rsidRPr="009620E0">
        <w:rPr>
          <w:rFonts w:ascii="Arial" w:hAnsi="Arial" w:cs="Arial"/>
          <w:b/>
          <w:bCs/>
          <w:sz w:val="24"/>
          <w:szCs w:val="24"/>
          <w:lang w:val="af-ZA"/>
        </w:rPr>
        <w:t xml:space="preserve">Hình 7. Vốn đầu tư thực hiện từ nguồn ngân sách Nhà nước </w:t>
      </w:r>
    </w:p>
    <w:p w14:paraId="1144FCC8" w14:textId="3927DA62" w:rsidR="00865420" w:rsidRPr="009620E0" w:rsidRDefault="007C547D" w:rsidP="00865420">
      <w:pPr>
        <w:spacing w:line="276" w:lineRule="auto"/>
        <w:jc w:val="center"/>
        <w:rPr>
          <w:rFonts w:ascii="Arial" w:hAnsi="Arial" w:cs="Arial"/>
          <w:b/>
          <w:bCs/>
          <w:sz w:val="24"/>
          <w:szCs w:val="24"/>
          <w:lang w:val="af-ZA"/>
        </w:rPr>
      </w:pPr>
      <w:r w:rsidRPr="009620E0">
        <w:rPr>
          <w:rFonts w:ascii="Arial" w:hAnsi="Arial" w:cs="Arial"/>
          <w:b/>
          <w:bCs/>
          <w:sz w:val="24"/>
          <w:szCs w:val="24"/>
          <w:lang w:val="af-ZA"/>
        </w:rPr>
        <w:t>2</w:t>
      </w:r>
      <w:r w:rsidR="00865420" w:rsidRPr="009620E0">
        <w:rPr>
          <w:rFonts w:ascii="Arial" w:hAnsi="Arial" w:cs="Arial"/>
          <w:b/>
          <w:bCs/>
          <w:sz w:val="24"/>
          <w:szCs w:val="24"/>
          <w:lang w:val="af-ZA"/>
        </w:rPr>
        <w:t xml:space="preserve"> tháng đầu năm của một số địa phương</w:t>
      </w:r>
    </w:p>
    <w:p w14:paraId="1EA23224" w14:textId="2ACB2680" w:rsidR="00865420" w:rsidRPr="009620E0" w:rsidRDefault="00165BBE" w:rsidP="00865420">
      <w:pPr>
        <w:spacing w:line="276" w:lineRule="auto"/>
        <w:jc w:val="center"/>
        <w:rPr>
          <w:rFonts w:ascii="Arial" w:hAnsi="Arial" w:cs="Arial"/>
          <w:b/>
          <w:bCs/>
          <w:sz w:val="24"/>
          <w:szCs w:val="24"/>
          <w:lang w:val="af-ZA"/>
        </w:rPr>
      </w:pPr>
      <w:r w:rsidRPr="009620E0">
        <w:rPr>
          <w:noProof/>
        </w:rPr>
        <w:drawing>
          <wp:inline distT="0" distB="0" distL="0" distR="0" wp14:anchorId="5301FFBB" wp14:editId="4092CF1A">
            <wp:extent cx="5699760" cy="2835729"/>
            <wp:effectExtent l="0" t="0" r="15240" b="3175"/>
            <wp:docPr id="8" name="Chart 8">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832156" w14:textId="77777777" w:rsidR="001B46AC" w:rsidRPr="009620E0" w:rsidRDefault="001B46AC" w:rsidP="001B46AC">
      <w:pPr>
        <w:spacing w:after="120" w:line="264" w:lineRule="auto"/>
        <w:ind w:firstLine="567"/>
        <w:jc w:val="both"/>
        <w:rPr>
          <w:iCs/>
          <w:lang w:val="de-DE"/>
        </w:rPr>
      </w:pPr>
      <w:r w:rsidRPr="009620E0">
        <w:rPr>
          <w:i/>
          <w:iCs/>
          <w:lang w:val="de-DE"/>
        </w:rPr>
        <w:lastRenderedPageBreak/>
        <w:t>Tổng vốn đầu tư nước ngoài đăng ký vào Việt Nam</w:t>
      </w:r>
      <w:r w:rsidRPr="009620E0">
        <w:rPr>
          <w:rStyle w:val="FootnoteReference"/>
          <w:i/>
          <w:iCs/>
          <w:lang w:val="de-DE"/>
        </w:rPr>
        <w:footnoteReference w:id="8"/>
      </w:r>
      <w:r w:rsidRPr="009620E0">
        <w:rPr>
          <w:i/>
          <w:iCs/>
          <w:lang w:val="de-DE"/>
        </w:rPr>
        <w:t xml:space="preserve"> </w:t>
      </w:r>
      <w:r w:rsidRPr="009620E0">
        <w:rPr>
          <w:iCs/>
          <w:lang w:val="de-DE"/>
        </w:rPr>
        <w:t>tính đến ngày 20/02/2024 bao gồm: Vốn đăng ký cấp mới, vốn đăng ký điều chỉnh và giá trị góp vốn, mua cổ phần của nhà đầu tư nước ngoài đạt gần 4,29 tỷ USD, tăng 38,6% so với cùng kỳ năm trước.</w:t>
      </w:r>
    </w:p>
    <w:p w14:paraId="01A2B584" w14:textId="77777777" w:rsidR="001B46AC" w:rsidRPr="009620E0" w:rsidRDefault="001B46AC" w:rsidP="001B46AC">
      <w:pPr>
        <w:jc w:val="center"/>
        <w:rPr>
          <w:rFonts w:ascii="Arial" w:hAnsi="Arial" w:cs="Arial"/>
          <w:b/>
          <w:bCs/>
          <w:sz w:val="24"/>
          <w:szCs w:val="24"/>
          <w:lang w:val="de-DE"/>
        </w:rPr>
      </w:pPr>
      <w:r w:rsidRPr="009620E0">
        <w:rPr>
          <w:rFonts w:ascii="Arial" w:hAnsi="Arial" w:cs="Arial"/>
          <w:b/>
          <w:bCs/>
          <w:sz w:val="24"/>
          <w:szCs w:val="24"/>
          <w:lang w:val="de-DE"/>
        </w:rPr>
        <w:t>Hình 8. Vốn đầu tư nước ngoài đăng ký vào Việt Nam</w:t>
      </w:r>
    </w:p>
    <w:p w14:paraId="5A1A3130" w14:textId="77777777" w:rsidR="001B46AC" w:rsidRPr="009620E0" w:rsidRDefault="001B46AC" w:rsidP="001B46AC">
      <w:pPr>
        <w:jc w:val="center"/>
        <w:rPr>
          <w:rFonts w:ascii="Arial" w:hAnsi="Arial" w:cs="Arial"/>
          <w:b/>
          <w:bCs/>
          <w:sz w:val="24"/>
          <w:szCs w:val="24"/>
          <w:lang w:val="de-DE"/>
        </w:rPr>
      </w:pPr>
      <w:r w:rsidRPr="009620E0">
        <w:rPr>
          <w:rFonts w:ascii="Arial" w:hAnsi="Arial" w:cs="Arial"/>
          <w:b/>
          <w:bCs/>
          <w:sz w:val="24"/>
          <w:szCs w:val="24"/>
          <w:lang w:val="de-DE"/>
        </w:rPr>
        <w:t>tính đến ngày 20/02 các năm 2020-2024 (Tỷ USD)</w:t>
      </w:r>
    </w:p>
    <w:p w14:paraId="11DB351C" w14:textId="2F073DBD" w:rsidR="001B46AC" w:rsidRPr="009620E0" w:rsidRDefault="001B46AC" w:rsidP="001B46AC">
      <w:pPr>
        <w:jc w:val="center"/>
        <w:rPr>
          <w:rFonts w:ascii="Arial" w:hAnsi="Arial" w:cs="Arial"/>
          <w:b/>
          <w:bCs/>
          <w:sz w:val="24"/>
          <w:szCs w:val="24"/>
          <w:lang w:val="de-DE"/>
        </w:rPr>
      </w:pPr>
      <w:r w:rsidRPr="009620E0">
        <w:rPr>
          <w:noProof/>
        </w:rPr>
        <w:drawing>
          <wp:inline distT="0" distB="0" distL="0" distR="0" wp14:anchorId="5A62E6BA" wp14:editId="0D0C438A">
            <wp:extent cx="5286375" cy="2133600"/>
            <wp:effectExtent l="0" t="0" r="9525" b="0"/>
            <wp:docPr id="10" name="Chart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BDC78F" w14:textId="77B5A941" w:rsidR="001B46AC" w:rsidRPr="009620E0" w:rsidRDefault="001B46AC" w:rsidP="001B46AC">
      <w:pPr>
        <w:spacing w:after="120" w:line="264" w:lineRule="auto"/>
        <w:ind w:firstLine="567"/>
        <w:jc w:val="both"/>
        <w:rPr>
          <w:iCs/>
          <w:lang w:val="de-DE"/>
        </w:rPr>
      </w:pPr>
      <w:r w:rsidRPr="009620E0">
        <w:rPr>
          <w:b/>
          <w:bCs/>
          <w:noProof/>
        </w:rPr>
        <w:softHyphen/>
      </w:r>
      <w:r w:rsidRPr="009620E0">
        <w:rPr>
          <w:b/>
          <w:bCs/>
          <w:noProof/>
        </w:rPr>
        <w:softHyphen/>
      </w:r>
      <w:r w:rsidRPr="009620E0">
        <w:rPr>
          <w:b/>
          <w:bCs/>
          <w:noProof/>
        </w:rPr>
        <w:softHyphen/>
      </w:r>
      <w:r w:rsidRPr="009620E0">
        <w:rPr>
          <w:iCs/>
          <w:lang w:val="de-DE"/>
        </w:rPr>
        <w:t>- Vốn đăng ký cấp mới có 405 dự án được cấp phép với số vốn đăng ký đạt 3,6 tỷ USD, tăng 55,2% so với cùng kỳ năm trước về số dự án và tăng 103,8% về số vốn đăng ký. Trong đó, ngành công nghiệp chế biến, chế tạo được cấp phép mới đầu tư trực tiếp nước ngoài lớn nhất với số vốn đăng ký đạt 2,09 tỷ USD, chiếm 58,1% tổng vốn đăng ký cấp mới; hoạt động kinh doanh bất động sản đạt 1,37 tỷ USD, chiếm 38%; các ngành còn lại đạt 139,3 triệu USD, chiếm 3,9%.</w:t>
      </w:r>
    </w:p>
    <w:p w14:paraId="039DB077" w14:textId="09CFEED7" w:rsidR="001B46AC" w:rsidRPr="009620E0" w:rsidRDefault="001B46AC" w:rsidP="001B46AC">
      <w:pPr>
        <w:spacing w:after="120" w:line="264" w:lineRule="auto"/>
        <w:ind w:firstLine="567"/>
        <w:jc w:val="both"/>
        <w:rPr>
          <w:iCs/>
          <w:lang w:val="de-DE"/>
        </w:rPr>
      </w:pPr>
      <w:r w:rsidRPr="009620E0">
        <w:rPr>
          <w:iCs/>
          <w:lang w:val="de-DE"/>
        </w:rPr>
        <w:t xml:space="preserve">Trong số 30 quốc gia và vùng lãnh thổ có dự án đầu tư được cấp phép mới tại Việt Nam trong </w:t>
      </w:r>
      <w:r w:rsidRPr="009620E0">
        <w:rPr>
          <w:iCs/>
        </w:rPr>
        <w:t>2</w:t>
      </w:r>
      <w:r w:rsidRPr="009620E0">
        <w:rPr>
          <w:iCs/>
          <w:lang w:val="de-DE"/>
        </w:rPr>
        <w:t xml:space="preserve"> tháng </w:t>
      </w:r>
      <w:r w:rsidR="00D90056" w:rsidRPr="009620E0">
        <w:rPr>
          <w:iCs/>
          <w:lang w:val="de-DE"/>
        </w:rPr>
        <w:t xml:space="preserve">đầu năm </w:t>
      </w:r>
      <w:r w:rsidRPr="009620E0">
        <w:rPr>
          <w:iCs/>
          <w:lang w:val="de-DE"/>
        </w:rPr>
        <w:t xml:space="preserve">2024, Xin-ga-po là nhà đầu tư lớn nhất với 1,94 tỷ USD, chiếm 53,8% tổng vốn đăng ký cấp mới; tiếp đến là Đặc khu hành chính Hồng Công (Trung Quốc) </w:t>
      </w:r>
      <w:r w:rsidRPr="009620E0">
        <w:rPr>
          <w:iCs/>
        </w:rPr>
        <w:t>460,7</w:t>
      </w:r>
      <w:r w:rsidRPr="009620E0">
        <w:rPr>
          <w:iCs/>
          <w:lang w:val="de-DE"/>
        </w:rPr>
        <w:t xml:space="preserve"> triệu USD, chiếm 12,8%; Nhật Bản 408,4 triệu USD, chiếm 11,4%; Trung Quốc 381,6 triệu USD, chiếm 10</w:t>
      </w:r>
      <w:r w:rsidRPr="009620E0">
        <w:rPr>
          <w:iCs/>
          <w:lang w:val="vi-VN"/>
        </w:rPr>
        <w:t>,</w:t>
      </w:r>
      <w:r w:rsidRPr="009620E0">
        <w:rPr>
          <w:iCs/>
        </w:rPr>
        <w:t>6</w:t>
      </w:r>
      <w:r w:rsidRPr="009620E0">
        <w:rPr>
          <w:iCs/>
          <w:lang w:val="de-DE"/>
        </w:rPr>
        <w:t xml:space="preserve">%; Hàn Quốc </w:t>
      </w:r>
      <w:r w:rsidRPr="009620E0">
        <w:rPr>
          <w:iCs/>
          <w:lang w:val="vi-VN"/>
        </w:rPr>
        <w:t>1</w:t>
      </w:r>
      <w:r w:rsidRPr="009620E0">
        <w:rPr>
          <w:iCs/>
        </w:rPr>
        <w:t>37</w:t>
      </w:r>
      <w:r w:rsidRPr="009620E0">
        <w:rPr>
          <w:iCs/>
          <w:lang w:val="de-DE"/>
        </w:rPr>
        <w:t xml:space="preserve">,9 triệu USD, chiếm 3,8%; Đài Loan </w:t>
      </w:r>
      <w:r w:rsidRPr="009620E0">
        <w:rPr>
          <w:iCs/>
        </w:rPr>
        <w:t>67</w:t>
      </w:r>
      <w:r w:rsidRPr="009620E0">
        <w:rPr>
          <w:iCs/>
          <w:lang w:val="de-DE"/>
        </w:rPr>
        <w:t xml:space="preserve"> triệu USD, chiếm </w:t>
      </w:r>
      <w:r w:rsidRPr="009620E0">
        <w:rPr>
          <w:iCs/>
          <w:lang w:val="vi-VN"/>
        </w:rPr>
        <w:t>1</w:t>
      </w:r>
      <w:r w:rsidRPr="009620E0">
        <w:rPr>
          <w:iCs/>
          <w:lang w:val="de-DE"/>
        </w:rPr>
        <w:t>,9%.</w:t>
      </w:r>
    </w:p>
    <w:p w14:paraId="53876DD7" w14:textId="77777777" w:rsidR="001B46AC" w:rsidRPr="009620E0" w:rsidRDefault="001B46AC" w:rsidP="001B46AC">
      <w:pPr>
        <w:spacing w:after="120" w:line="264" w:lineRule="auto"/>
        <w:ind w:firstLine="567"/>
        <w:jc w:val="both"/>
        <w:rPr>
          <w:iCs/>
          <w:lang w:val="de-DE"/>
        </w:rPr>
      </w:pPr>
      <w:r w:rsidRPr="009620E0">
        <w:rPr>
          <w:iCs/>
          <w:lang w:val="de-DE"/>
        </w:rPr>
        <w:t xml:space="preserve"> - Vốn đăng ký điều chỉnh có 159 lượt dự án đã cấp phép từ các năm trước đăng ký điều chỉnh vốn đầu tư tăng thêm 442,1 triệu USD, </w:t>
      </w:r>
      <w:r w:rsidRPr="009620E0">
        <w:rPr>
          <w:iCs/>
        </w:rPr>
        <w:t>giảm 17,4</w:t>
      </w:r>
      <w:r w:rsidRPr="009620E0">
        <w:rPr>
          <w:iCs/>
          <w:lang w:val="de-DE"/>
        </w:rPr>
        <w:t>% so với cùng kỳ năm trước.</w:t>
      </w:r>
    </w:p>
    <w:p w14:paraId="0D8DBC2E" w14:textId="77777777" w:rsidR="001B46AC" w:rsidRPr="009620E0" w:rsidRDefault="001B46AC" w:rsidP="001B46AC">
      <w:pPr>
        <w:spacing w:after="120" w:line="264" w:lineRule="auto"/>
        <w:ind w:firstLine="567"/>
        <w:jc w:val="both"/>
        <w:rPr>
          <w:iCs/>
          <w:lang w:val="de-DE"/>
        </w:rPr>
      </w:pPr>
      <w:r w:rsidRPr="009620E0">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2,45 tỷ USD, chiếm 60,7% tổng vốn đăng ký cấp mới và tăng thêm; hoạt động kinh doanh bất động sản đạt 1,38 tỷ USD, chiếm 34,1%; các ngành còn lại đạt 209,4 triệu USD, chiếm 5,2%.</w:t>
      </w:r>
    </w:p>
    <w:p w14:paraId="1178F9D8" w14:textId="77777777" w:rsidR="001B46AC" w:rsidRPr="009620E0" w:rsidRDefault="001B46AC" w:rsidP="001B46AC">
      <w:pPr>
        <w:spacing w:after="120" w:line="264" w:lineRule="auto"/>
        <w:ind w:firstLine="567"/>
        <w:jc w:val="both"/>
        <w:rPr>
          <w:iCs/>
          <w:lang w:val="de-DE"/>
        </w:rPr>
      </w:pPr>
      <w:r w:rsidRPr="009620E0">
        <w:rPr>
          <w:iCs/>
          <w:lang w:val="de-DE"/>
        </w:rPr>
        <w:t>- Vốn đăng ký góp vốn, mua cổ phần của nhà đầu tư nước ngoài có 367 lượt với tổng giá trị góp vốn 255,4 triệu USD, giảm 68% so với cùng kỳ năm trước</w:t>
      </w:r>
      <w:r w:rsidRPr="009620E0">
        <w:rPr>
          <w:iCs/>
        </w:rPr>
        <w:t>.</w:t>
      </w:r>
      <w:r w:rsidRPr="009620E0">
        <w:rPr>
          <w:iCs/>
          <w:lang w:val="de-DE"/>
        </w:rPr>
        <w:t xml:space="preserve"> </w:t>
      </w:r>
      <w:r w:rsidRPr="009620E0">
        <w:rPr>
          <w:iCs/>
          <w:lang w:val="de-DE"/>
        </w:rPr>
        <w:lastRenderedPageBreak/>
        <w:t>Trong đó, có 131</w:t>
      </w:r>
      <w:r w:rsidRPr="009620E0">
        <w:rPr>
          <w:iCs/>
        </w:rPr>
        <w:t xml:space="preserve"> </w:t>
      </w:r>
      <w:r w:rsidRPr="009620E0">
        <w:rPr>
          <w:iCs/>
          <w:lang w:val="de-DE"/>
        </w:rPr>
        <w:t>lượt góp vốn, mua cổ phần làm tăng vốn điều lệ của doanh nghiệp với giá trị góp vốn là 131,5 triệu USD và 236</w:t>
      </w:r>
      <w:r w:rsidRPr="009620E0">
        <w:rPr>
          <w:iCs/>
        </w:rPr>
        <w:t xml:space="preserve"> </w:t>
      </w:r>
      <w:r w:rsidRPr="009620E0">
        <w:rPr>
          <w:iCs/>
          <w:lang w:val="de-DE"/>
        </w:rPr>
        <w:t>lượt nhà đầu tư nước ngoài mua lại cổ phần trong nước mà không làm tăng vốn điều lệ với giá trị 123,9 triệu USD. Đối với hình thức góp vốn, mua cổ phần của nhà đầu tư nước ngoài, vốn đầu tư vào công ngiệp chế biến, chế tạo đạt 86</w:t>
      </w:r>
      <w:r w:rsidRPr="009620E0">
        <w:rPr>
          <w:iCs/>
        </w:rPr>
        <w:t xml:space="preserve">,53 </w:t>
      </w:r>
      <w:r w:rsidRPr="009620E0">
        <w:rPr>
          <w:iCs/>
          <w:lang w:val="de-DE"/>
        </w:rPr>
        <w:t>triệu USD, chiếm 33</w:t>
      </w:r>
      <w:r w:rsidRPr="009620E0">
        <w:rPr>
          <w:iCs/>
        </w:rPr>
        <w:t>,9%</w:t>
      </w:r>
      <w:r w:rsidRPr="009620E0">
        <w:rPr>
          <w:iCs/>
          <w:lang w:val="de-DE"/>
        </w:rPr>
        <w:t xml:space="preserve"> giá trị góp vốn; hoạt động chuyên môn, khoa hoc công nghệ đạt 58,8 triệu USD, chiếm 23%; ngành còn lại 110,1 triệu USD, chiếm </w:t>
      </w:r>
      <w:r w:rsidRPr="009620E0">
        <w:rPr>
          <w:iCs/>
        </w:rPr>
        <w:t>43,1</w:t>
      </w:r>
      <w:r w:rsidRPr="009620E0">
        <w:rPr>
          <w:iCs/>
          <w:lang w:val="de-DE"/>
        </w:rPr>
        <w:t>%.</w:t>
      </w:r>
    </w:p>
    <w:p w14:paraId="7B84B0F6" w14:textId="619131B8" w:rsidR="001B46AC" w:rsidRPr="009620E0" w:rsidRDefault="001B46AC" w:rsidP="001B46AC">
      <w:pPr>
        <w:spacing w:after="120" w:line="264" w:lineRule="auto"/>
        <w:ind w:firstLine="567"/>
        <w:jc w:val="both"/>
        <w:rPr>
          <w:rFonts w:ascii="Arial" w:hAnsi="Arial" w:cs="Arial"/>
          <w:b/>
          <w:bCs/>
          <w:sz w:val="24"/>
          <w:lang w:val="de-DE"/>
        </w:rPr>
      </w:pPr>
      <w:r w:rsidRPr="009620E0">
        <w:rPr>
          <w:i/>
          <w:iCs/>
          <w:lang w:val="de-DE"/>
        </w:rPr>
        <w:t xml:space="preserve">Vốn đầu tư trực tiếp nước ngoài thực hiện tại Việt Nam </w:t>
      </w:r>
      <w:r w:rsidR="007C547D" w:rsidRPr="009620E0">
        <w:rPr>
          <w:lang w:val="de-DE"/>
        </w:rPr>
        <w:t>2</w:t>
      </w:r>
      <w:r w:rsidRPr="009620E0">
        <w:rPr>
          <w:iCs/>
          <w:lang w:val="de-DE"/>
        </w:rPr>
        <w:t xml:space="preserve"> tháng </w:t>
      </w:r>
      <w:r w:rsidR="00D90056" w:rsidRPr="009620E0">
        <w:rPr>
          <w:iCs/>
          <w:lang w:val="de-DE"/>
        </w:rPr>
        <w:t xml:space="preserve">đầu </w:t>
      </w:r>
      <w:r w:rsidRPr="009620E0">
        <w:rPr>
          <w:iCs/>
          <w:lang w:val="de-DE"/>
        </w:rPr>
        <w:t xml:space="preserve">năm 2024 ước đạt 2,8 tỷ USD, tăng 9,8% so với cùng kỳ năm trước. Đây là số vốn đầu tư trực tiếp nước ngoài thực hiện cao nhất của </w:t>
      </w:r>
      <w:r w:rsidR="007C547D" w:rsidRPr="009620E0">
        <w:rPr>
          <w:iCs/>
          <w:lang w:val="de-DE"/>
        </w:rPr>
        <w:t>2</w:t>
      </w:r>
      <w:r w:rsidRPr="009620E0">
        <w:rPr>
          <w:iCs/>
          <w:lang w:val="de-DE"/>
        </w:rPr>
        <w:t xml:space="preserve"> tháng trong 5 năm qua. Trong đó: Công nghiệp chế biến, chế tạo đạt 2,17 tỷ USD, chiếm 77</w:t>
      </w:r>
      <w:r w:rsidRPr="009620E0">
        <w:rPr>
          <w:iCs/>
        </w:rPr>
        <w:t>,5</w:t>
      </w:r>
      <w:r w:rsidRPr="009620E0">
        <w:rPr>
          <w:iCs/>
          <w:lang w:val="de-DE"/>
        </w:rPr>
        <w:t>% tổng vốn đầu tư trực tiếp nước ngoài thực hiện; hoạt động kinh doanh bất động sản đạt 279</w:t>
      </w:r>
      <w:r w:rsidRPr="009620E0">
        <w:rPr>
          <w:iCs/>
        </w:rPr>
        <w:t>,3 triệu</w:t>
      </w:r>
      <w:r w:rsidRPr="009620E0">
        <w:rPr>
          <w:iCs/>
          <w:lang w:val="de-DE"/>
        </w:rPr>
        <w:t xml:space="preserve"> USD, chiếm 10%; sản xuất, phân phối điện, khí đốt, nước nóng, hơi nước và điều hòa không khí đạt </w:t>
      </w:r>
      <w:r w:rsidRPr="009620E0">
        <w:rPr>
          <w:iCs/>
        </w:rPr>
        <w:t>128,4</w:t>
      </w:r>
      <w:r w:rsidRPr="009620E0">
        <w:rPr>
          <w:iCs/>
          <w:lang w:val="de-DE"/>
        </w:rPr>
        <w:t xml:space="preserve"> triệu USD, chiếm 4,</w:t>
      </w:r>
      <w:r w:rsidRPr="009620E0">
        <w:rPr>
          <w:iCs/>
        </w:rPr>
        <w:t>6</w:t>
      </w:r>
      <w:r w:rsidRPr="009620E0">
        <w:rPr>
          <w:iCs/>
          <w:lang w:val="de-DE"/>
        </w:rPr>
        <w:t>%.</w:t>
      </w:r>
    </w:p>
    <w:p w14:paraId="2C85BB23" w14:textId="77777777" w:rsidR="001B46AC" w:rsidRPr="009620E0" w:rsidRDefault="001B46AC" w:rsidP="001B46AC">
      <w:pPr>
        <w:jc w:val="center"/>
        <w:rPr>
          <w:rFonts w:ascii="Arial" w:hAnsi="Arial" w:cs="Arial"/>
          <w:b/>
          <w:bCs/>
          <w:sz w:val="24"/>
          <w:lang w:val="de-DE"/>
        </w:rPr>
      </w:pPr>
      <w:r w:rsidRPr="009620E0">
        <w:rPr>
          <w:rFonts w:ascii="Arial" w:hAnsi="Arial" w:cs="Arial"/>
          <w:b/>
          <w:bCs/>
          <w:sz w:val="24"/>
          <w:lang w:val="de-DE"/>
        </w:rPr>
        <w:t>Hình 9. Vốn đầu tư trực tiếp nước ngoài thực hiện</w:t>
      </w:r>
    </w:p>
    <w:p w14:paraId="21690B9A" w14:textId="29319D88" w:rsidR="001B46AC" w:rsidRPr="009620E0" w:rsidRDefault="001B46AC" w:rsidP="001B46AC">
      <w:pPr>
        <w:jc w:val="center"/>
        <w:rPr>
          <w:rFonts w:ascii="Arial" w:hAnsi="Arial" w:cs="Arial"/>
          <w:b/>
          <w:bCs/>
          <w:sz w:val="24"/>
          <w:lang w:val="de-DE"/>
        </w:rPr>
      </w:pPr>
      <w:r w:rsidRPr="009620E0">
        <w:rPr>
          <w:rFonts w:ascii="Arial" w:hAnsi="Arial" w:cs="Arial"/>
          <w:b/>
          <w:bCs/>
          <w:sz w:val="24"/>
        </w:rPr>
        <w:t xml:space="preserve">2 tháng </w:t>
      </w:r>
      <w:r w:rsidR="00A168C5" w:rsidRPr="009620E0">
        <w:rPr>
          <w:rFonts w:ascii="Arial" w:hAnsi="Arial" w:cs="Arial"/>
          <w:b/>
          <w:bCs/>
          <w:sz w:val="24"/>
        </w:rPr>
        <w:t xml:space="preserve">đầu năm </w:t>
      </w:r>
      <w:r w:rsidRPr="009620E0">
        <w:rPr>
          <w:rFonts w:ascii="Arial" w:hAnsi="Arial" w:cs="Arial"/>
          <w:b/>
          <w:bCs/>
          <w:sz w:val="24"/>
          <w:lang w:val="de-DE"/>
        </w:rPr>
        <w:t>các năm 2020-2024</w:t>
      </w:r>
    </w:p>
    <w:p w14:paraId="55EEDD46" w14:textId="0A0342DD" w:rsidR="001B46AC" w:rsidRPr="009620E0" w:rsidRDefault="001B46AC" w:rsidP="001B46AC">
      <w:pPr>
        <w:jc w:val="center"/>
        <w:rPr>
          <w:rFonts w:ascii="Arial" w:hAnsi="Arial" w:cs="Arial"/>
          <w:b/>
          <w:bCs/>
          <w:sz w:val="24"/>
          <w:lang w:val="de-DE"/>
        </w:rPr>
      </w:pPr>
      <w:r w:rsidRPr="009620E0">
        <w:rPr>
          <w:noProof/>
        </w:rPr>
        <w:drawing>
          <wp:inline distT="0" distB="0" distL="0" distR="0" wp14:anchorId="1A5692DF" wp14:editId="7143437B">
            <wp:extent cx="4572000" cy="2122715"/>
            <wp:effectExtent l="0" t="0" r="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6ECDD1" w14:textId="1BCC4F72" w:rsidR="001B46AC" w:rsidRPr="009620E0" w:rsidRDefault="001B46AC" w:rsidP="001B46AC">
      <w:pPr>
        <w:spacing w:after="120" w:line="264" w:lineRule="auto"/>
        <w:ind w:firstLine="567"/>
        <w:jc w:val="both"/>
        <w:rPr>
          <w:i/>
          <w:iCs/>
          <w:lang w:val="de-DE"/>
        </w:rPr>
      </w:pPr>
      <w:r w:rsidRPr="009620E0">
        <w:rPr>
          <w:i/>
          <w:iCs/>
          <w:lang w:val="de-DE"/>
        </w:rPr>
        <w:t>Đầu tư của Việt Nam ra nước ngoài</w:t>
      </w:r>
      <w:r w:rsidRPr="009620E0">
        <w:rPr>
          <w:iCs/>
          <w:lang w:val="de-DE"/>
        </w:rPr>
        <w:t xml:space="preserve"> trong </w:t>
      </w:r>
      <w:r w:rsidR="00E110EA" w:rsidRPr="009620E0">
        <w:rPr>
          <w:iCs/>
          <w:lang w:val="de-DE"/>
        </w:rPr>
        <w:t>2</w:t>
      </w:r>
      <w:r w:rsidR="006526D6" w:rsidRPr="009620E0">
        <w:rPr>
          <w:iCs/>
          <w:lang w:val="de-DE"/>
        </w:rPr>
        <w:t xml:space="preserve"> </w:t>
      </w:r>
      <w:r w:rsidRPr="009620E0">
        <w:rPr>
          <w:iCs/>
          <w:lang w:val="de-DE"/>
        </w:rPr>
        <w:t xml:space="preserve">tháng </w:t>
      </w:r>
      <w:r w:rsidR="00D90056" w:rsidRPr="009620E0">
        <w:rPr>
          <w:iCs/>
          <w:lang w:val="de-DE"/>
        </w:rPr>
        <w:t xml:space="preserve">đầu </w:t>
      </w:r>
      <w:r w:rsidRPr="009620E0">
        <w:rPr>
          <w:iCs/>
          <w:lang w:val="de-DE"/>
        </w:rPr>
        <w:t xml:space="preserve">năm 2024 có 17 dự án được cấp mới giấy chứng nhận đầu tư với tổng số vốn của phía Việt Nam là </w:t>
      </w:r>
      <w:r w:rsidRPr="009620E0">
        <w:rPr>
          <w:iCs/>
        </w:rPr>
        <w:t>24</w:t>
      </w:r>
      <w:r w:rsidRPr="009620E0">
        <w:rPr>
          <w:iCs/>
          <w:lang w:val="de-DE"/>
        </w:rPr>
        <w:t xml:space="preserve">,8 triệu USD, giảm 77,3% so với cùng kỳ năm trước; có </w:t>
      </w:r>
      <w:r w:rsidR="006526D6" w:rsidRPr="009620E0">
        <w:rPr>
          <w:iCs/>
          <w:lang w:val="de-DE"/>
        </w:rPr>
        <w:t>0</w:t>
      </w:r>
      <w:r w:rsidRPr="009620E0">
        <w:rPr>
          <w:iCs/>
          <w:lang w:val="de-DE"/>
        </w:rPr>
        <w:t xml:space="preserve">2 lượt dự án điều chỉnh vốn với số vốn điều chỉnh tăng 220 </w:t>
      </w:r>
      <w:r w:rsidR="00894984" w:rsidRPr="009620E0">
        <w:rPr>
          <w:iCs/>
          <w:lang w:val="de-DE"/>
        </w:rPr>
        <w:t>nghìn</w:t>
      </w:r>
      <w:r w:rsidRPr="009620E0">
        <w:rPr>
          <w:iCs/>
          <w:lang w:val="de-DE"/>
        </w:rPr>
        <w:t xml:space="preserve"> USD, giảm 96,1%.</w:t>
      </w:r>
    </w:p>
    <w:p w14:paraId="06DA76B0" w14:textId="77777777" w:rsidR="001B46AC" w:rsidRPr="009620E0" w:rsidRDefault="001B46AC" w:rsidP="001B46AC">
      <w:pPr>
        <w:spacing w:after="120" w:line="264" w:lineRule="auto"/>
        <w:ind w:firstLine="567"/>
        <w:jc w:val="both"/>
        <w:rPr>
          <w:iCs/>
          <w:lang w:val="de-DE"/>
        </w:rPr>
      </w:pPr>
      <w:r w:rsidRPr="009620E0">
        <w:rPr>
          <w:iCs/>
          <w:lang w:val="de-DE"/>
        </w:rPr>
        <w:t xml:space="preserve">Tính chung tổng vốn đầu tư của Việt Nam ra nước ngoài (vốn cấp mới và điều chỉnh) đạt </w:t>
      </w:r>
      <w:r w:rsidRPr="009620E0">
        <w:rPr>
          <w:iCs/>
        </w:rPr>
        <w:t>25</w:t>
      </w:r>
      <w:r w:rsidRPr="009620E0">
        <w:rPr>
          <w:iCs/>
          <w:lang w:val="de-DE"/>
        </w:rPr>
        <w:t xml:space="preserve"> triệu USD, giảm 78,3% so với cùng kỳ năm trước. Trong đó: </w:t>
      </w:r>
      <w:r w:rsidRPr="009620E0">
        <w:rPr>
          <w:iCs/>
        </w:rPr>
        <w:t>Bán buôn và bán lẻ, sửa chữa ô tô, mô tô, xe máy và xe có động cơ khác</w:t>
      </w:r>
      <w:r w:rsidRPr="009620E0">
        <w:rPr>
          <w:iCs/>
          <w:lang w:val="de-DE"/>
        </w:rPr>
        <w:t xml:space="preserve"> đạt 9,9 triệu USD, chiếm </w:t>
      </w:r>
      <w:r w:rsidRPr="009620E0">
        <w:rPr>
          <w:iCs/>
        </w:rPr>
        <w:t>39</w:t>
      </w:r>
      <w:r w:rsidRPr="009620E0">
        <w:rPr>
          <w:iCs/>
          <w:lang w:val="de-DE"/>
        </w:rPr>
        <w:t xml:space="preserve">,4% tổng vốn đầu tư; hoạt động kinh doanh bất động sản đạt 5,4 triệu USD, chiếm 21,5%; hoạt động xây dựng đạt </w:t>
      </w:r>
      <w:r w:rsidRPr="009620E0">
        <w:rPr>
          <w:iCs/>
        </w:rPr>
        <w:t>5</w:t>
      </w:r>
      <w:r w:rsidRPr="009620E0">
        <w:rPr>
          <w:iCs/>
          <w:lang w:val="de-DE"/>
        </w:rPr>
        <w:t xml:space="preserve"> triệu USD; chiếm 20%.</w:t>
      </w:r>
    </w:p>
    <w:p w14:paraId="7A383C01" w14:textId="20C31939" w:rsidR="001B46AC" w:rsidRPr="009620E0" w:rsidRDefault="001B46AC" w:rsidP="001B46AC">
      <w:pPr>
        <w:spacing w:after="120" w:line="264" w:lineRule="auto"/>
        <w:ind w:firstLine="567"/>
        <w:jc w:val="both"/>
      </w:pPr>
      <w:r w:rsidRPr="009620E0">
        <w:rPr>
          <w:iCs/>
          <w:spacing w:val="2"/>
          <w:lang w:val="de-DE"/>
        </w:rPr>
        <w:t xml:space="preserve">Trong </w:t>
      </w:r>
      <w:r w:rsidR="00E110EA" w:rsidRPr="009620E0">
        <w:rPr>
          <w:iCs/>
          <w:spacing w:val="2"/>
          <w:lang w:val="de-DE"/>
        </w:rPr>
        <w:t>2</w:t>
      </w:r>
      <w:r w:rsidR="006526D6" w:rsidRPr="009620E0">
        <w:rPr>
          <w:iCs/>
          <w:spacing w:val="2"/>
          <w:lang w:val="de-DE"/>
        </w:rPr>
        <w:t xml:space="preserve"> </w:t>
      </w:r>
      <w:r w:rsidRPr="009620E0">
        <w:rPr>
          <w:iCs/>
          <w:spacing w:val="2"/>
          <w:lang w:val="de-DE"/>
        </w:rPr>
        <w:t xml:space="preserve">tháng </w:t>
      </w:r>
      <w:r w:rsidR="00D90056" w:rsidRPr="009620E0">
        <w:rPr>
          <w:iCs/>
          <w:spacing w:val="2"/>
          <w:lang w:val="de-DE"/>
        </w:rPr>
        <w:t xml:space="preserve">đầu </w:t>
      </w:r>
      <w:r w:rsidRPr="009620E0">
        <w:rPr>
          <w:iCs/>
          <w:spacing w:val="2"/>
          <w:lang w:val="de-DE"/>
        </w:rPr>
        <w:t xml:space="preserve">năm 2024 có 11 quốc gia và vùng lãnh thổ nhận đầu tư của Việt Nam, trong đó: </w:t>
      </w:r>
      <w:r w:rsidRPr="009620E0">
        <w:rPr>
          <w:iCs/>
          <w:spacing w:val="2"/>
        </w:rPr>
        <w:t>Hoa Kỳ</w:t>
      </w:r>
      <w:r w:rsidRPr="009620E0">
        <w:rPr>
          <w:iCs/>
          <w:spacing w:val="2"/>
          <w:lang w:val="de-DE"/>
        </w:rPr>
        <w:t xml:space="preserve"> là nước dẫn đầu với </w:t>
      </w:r>
      <w:r w:rsidRPr="009620E0">
        <w:rPr>
          <w:iCs/>
          <w:spacing w:val="2"/>
        </w:rPr>
        <w:t>6</w:t>
      </w:r>
      <w:r w:rsidRPr="009620E0">
        <w:rPr>
          <w:iCs/>
          <w:spacing w:val="2"/>
          <w:lang w:val="de-DE"/>
        </w:rPr>
        <w:t xml:space="preserve">,7 triệu USD, chiếm 26,6% tổng vốn đầu tư; Niu-Di-lân 5,9 triệu USD, chiếm 23,5%; Đức 5,4 triệu USD, chiếm </w:t>
      </w:r>
      <w:r w:rsidRPr="009620E0">
        <w:rPr>
          <w:iCs/>
          <w:spacing w:val="2"/>
        </w:rPr>
        <w:t>21</w:t>
      </w:r>
      <w:r w:rsidRPr="009620E0">
        <w:rPr>
          <w:iCs/>
          <w:spacing w:val="2"/>
          <w:lang w:val="de-DE"/>
        </w:rPr>
        <w:t xml:space="preserve">,5%; </w:t>
      </w:r>
      <w:r w:rsidRPr="009620E0">
        <w:rPr>
          <w:iCs/>
          <w:spacing w:val="2"/>
        </w:rPr>
        <w:t xml:space="preserve">Lào </w:t>
      </w:r>
      <w:r w:rsidRPr="009620E0">
        <w:rPr>
          <w:iCs/>
          <w:spacing w:val="2"/>
          <w:lang w:val="de-DE"/>
        </w:rPr>
        <w:t>đạt 4,2 triệu USD, chiếm 16,9%; Trung Quốc 1,4 triệu USD, chiếm 5,6%.</w:t>
      </w:r>
    </w:p>
    <w:p w14:paraId="21B6063E" w14:textId="77777777" w:rsidR="00066D3C" w:rsidRPr="009620E0" w:rsidRDefault="00066D3C" w:rsidP="00066D3C">
      <w:pPr>
        <w:spacing w:before="40" w:after="40" w:line="264" w:lineRule="auto"/>
        <w:ind w:firstLine="567"/>
        <w:jc w:val="both"/>
        <w:rPr>
          <w:b/>
          <w:bCs/>
        </w:rPr>
      </w:pPr>
      <w:r w:rsidRPr="009620E0">
        <w:rPr>
          <w:b/>
          <w:bCs/>
        </w:rPr>
        <w:lastRenderedPageBreak/>
        <w:t>5. Thu, chi ngân sách Nhà nước</w:t>
      </w:r>
      <w:r w:rsidRPr="009620E0">
        <w:rPr>
          <w:rStyle w:val="FootnoteReference"/>
          <w:b/>
          <w:bCs/>
        </w:rPr>
        <w:footnoteReference w:id="9"/>
      </w:r>
    </w:p>
    <w:p w14:paraId="09DD5043" w14:textId="43B419A2" w:rsidR="00066D3C" w:rsidRPr="009620E0" w:rsidRDefault="00066D3C" w:rsidP="00066D3C">
      <w:pPr>
        <w:spacing w:before="40" w:after="40" w:line="264" w:lineRule="auto"/>
        <w:ind w:firstLine="567"/>
        <w:jc w:val="both"/>
        <w:rPr>
          <w:rFonts w:ascii="Times New Roman Italic" w:hAnsi="Times New Roman Italic" w:cs="Arial"/>
          <w:b/>
          <w:spacing w:val="-2"/>
          <w:sz w:val="10"/>
          <w:szCs w:val="10"/>
          <w:lang w:val="nl-NL"/>
        </w:rPr>
      </w:pPr>
      <w:r w:rsidRPr="009620E0">
        <w:rPr>
          <w:rFonts w:ascii="Times New Roman Italic" w:hAnsi="Times New Roman Italic"/>
          <w:i/>
          <w:spacing w:val="-2"/>
          <w:lang w:val="nl-NL"/>
        </w:rPr>
        <w:t>Thu ngân sách Nhà nước 2 tháng đầu năm 2024 ước tăng 10,4% so với cùng kỳ năm trước. Chi ngân sách Nhà nước ước tăng 7,7% so với cùng kỳ năm 2023, đảm bảo các nhu cầu phát triển kinh tế - xã hội, quốc phòng, an ninh, quản lý nhà nước, thanh toán các khoản nợ đến hạn cũng như chi trả kịp thời cho các đối tượng theo quy định.</w:t>
      </w:r>
    </w:p>
    <w:p w14:paraId="0A5CD310" w14:textId="77777777" w:rsidR="00066D3C" w:rsidRPr="009620E0" w:rsidRDefault="00066D3C" w:rsidP="00066D3C">
      <w:pPr>
        <w:spacing w:before="120" w:after="120" w:line="264" w:lineRule="auto"/>
        <w:jc w:val="center"/>
        <w:rPr>
          <w:rFonts w:ascii="Arial" w:hAnsi="Arial" w:cs="Arial"/>
          <w:b/>
          <w:sz w:val="24"/>
          <w:szCs w:val="24"/>
          <w:lang w:val="nl-NL"/>
        </w:rPr>
      </w:pPr>
      <w:r w:rsidRPr="009620E0">
        <w:rPr>
          <w:rFonts w:ascii="Arial" w:hAnsi="Arial" w:cs="Arial"/>
          <w:b/>
          <w:sz w:val="24"/>
          <w:szCs w:val="24"/>
          <w:lang w:val="nl-NL"/>
        </w:rPr>
        <w:t>Hình 10. Thu, chi ngân sách Nhà nước 02 tháng đầu năm 2024</w:t>
      </w:r>
    </w:p>
    <w:p w14:paraId="2619D38C" w14:textId="627611B8" w:rsidR="00066D3C" w:rsidRPr="009620E0" w:rsidRDefault="00066D3C" w:rsidP="00066D3C">
      <w:pPr>
        <w:spacing w:before="40" w:after="40" w:line="276" w:lineRule="auto"/>
        <w:jc w:val="center"/>
        <w:rPr>
          <w:b/>
          <w:i/>
          <w:lang w:val="it-IT"/>
        </w:rPr>
      </w:pPr>
      <w:r w:rsidRPr="009620E0">
        <w:rPr>
          <w:b/>
          <w:i/>
          <w:noProof/>
        </w:rPr>
        <w:drawing>
          <wp:inline distT="0" distB="0" distL="0" distR="0" wp14:anchorId="07336EFE" wp14:editId="12C02A7D">
            <wp:extent cx="5676265" cy="1808018"/>
            <wp:effectExtent l="0" t="0" r="635" b="1905"/>
            <wp:docPr id="5" name="Picture 5"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piggy bank and money on a sca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3631" cy="1813550"/>
                    </a:xfrm>
                    <a:prstGeom prst="rect">
                      <a:avLst/>
                    </a:prstGeom>
                  </pic:spPr>
                </pic:pic>
              </a:graphicData>
            </a:graphic>
          </wp:inline>
        </w:drawing>
      </w:r>
    </w:p>
    <w:p w14:paraId="47D56751" w14:textId="77777777" w:rsidR="00066D3C" w:rsidRPr="009620E0" w:rsidRDefault="00066D3C" w:rsidP="00066D3C">
      <w:pPr>
        <w:spacing w:after="120" w:line="252" w:lineRule="auto"/>
        <w:ind w:firstLine="567"/>
        <w:jc w:val="both"/>
        <w:rPr>
          <w:b/>
          <w:i/>
          <w:lang w:val="it-IT"/>
        </w:rPr>
      </w:pPr>
      <w:r w:rsidRPr="009620E0">
        <w:rPr>
          <w:b/>
          <w:i/>
          <w:lang w:val="it-IT"/>
        </w:rPr>
        <w:t>Thu ngân sách Nhà nước:</w:t>
      </w:r>
    </w:p>
    <w:p w14:paraId="60E976E0" w14:textId="77777777" w:rsidR="00066D3C" w:rsidRPr="009620E0" w:rsidRDefault="00066D3C" w:rsidP="00066D3C">
      <w:pPr>
        <w:spacing w:after="120" w:line="252" w:lineRule="auto"/>
        <w:ind w:firstLine="567"/>
        <w:jc w:val="both"/>
        <w:rPr>
          <w:lang w:val="nl-NL"/>
        </w:rPr>
      </w:pPr>
      <w:r w:rsidRPr="009620E0">
        <w:rPr>
          <w:lang w:val="it-IT"/>
        </w:rPr>
        <w:t xml:space="preserve">Tổng thu ngân sách Nhà nước tháng 02/2024 ước đạt </w:t>
      </w:r>
      <w:r w:rsidRPr="009620E0">
        <w:rPr>
          <w:lang w:val="nl-NL"/>
        </w:rPr>
        <w:t>132,7 nghìn tỷ đồng</w:t>
      </w:r>
      <w:r w:rsidRPr="009620E0">
        <w:rPr>
          <w:lang w:val="it-IT"/>
        </w:rPr>
        <w:t>. Lũy kế tổng thu ngân sách Nhà nước 2 tháng đầu năm 2024 đạt 399,4 nghìn tỷ đồng, bằng 23,5% dự toán năm và tăng 10,4% so với cùng kỳ năm trước</w:t>
      </w:r>
      <w:r w:rsidRPr="009620E0">
        <w:rPr>
          <w:lang w:val="nl-NL"/>
        </w:rPr>
        <w:t>. Trong đó, một số khoản thu chính như sau:</w:t>
      </w:r>
    </w:p>
    <w:p w14:paraId="77825127" w14:textId="77777777" w:rsidR="00066D3C" w:rsidRPr="009620E0" w:rsidRDefault="00066D3C" w:rsidP="00066D3C">
      <w:pPr>
        <w:spacing w:after="120" w:line="252" w:lineRule="auto"/>
        <w:ind w:firstLine="567"/>
        <w:jc w:val="both"/>
        <w:rPr>
          <w:lang w:val="nl-NL"/>
        </w:rPr>
      </w:pPr>
      <w:r w:rsidRPr="009620E0">
        <w:rPr>
          <w:i/>
          <w:lang w:val="nl-NL"/>
        </w:rPr>
        <w:t>- Thu nội địa</w:t>
      </w:r>
      <w:r w:rsidRPr="009620E0">
        <w:rPr>
          <w:lang w:val="nl-NL"/>
        </w:rPr>
        <w:t xml:space="preserve"> tháng 02/2024 ước đạt 113,5 nghìn tỷ đồng. Lũy kế 2 tháng đầu năm 2024 đạt 355,8 nghìn tỷ đồng, bằng 24,6% dự toán năm và tăng 14,6% </w:t>
      </w:r>
      <w:r w:rsidRPr="009620E0">
        <w:rPr>
          <w:lang w:val="it-IT"/>
        </w:rPr>
        <w:t>so với cùng kỳ năm trước</w:t>
      </w:r>
      <w:r w:rsidRPr="009620E0">
        <w:rPr>
          <w:lang w:val="nl-NL"/>
        </w:rPr>
        <w:t>.</w:t>
      </w:r>
    </w:p>
    <w:p w14:paraId="5D7046F1" w14:textId="77777777" w:rsidR="00066D3C" w:rsidRPr="009620E0" w:rsidRDefault="00066D3C" w:rsidP="00066D3C">
      <w:pPr>
        <w:spacing w:after="120" w:line="252" w:lineRule="auto"/>
        <w:ind w:firstLine="567"/>
        <w:jc w:val="both"/>
        <w:rPr>
          <w:lang w:val="nl-NL"/>
        </w:rPr>
      </w:pPr>
      <w:r w:rsidRPr="009620E0">
        <w:rPr>
          <w:i/>
          <w:lang w:val="nl-NL"/>
        </w:rPr>
        <w:t xml:space="preserve">- Thu từ dầu thô </w:t>
      </w:r>
      <w:r w:rsidRPr="009620E0">
        <w:rPr>
          <w:lang w:val="nl-NL"/>
        </w:rPr>
        <w:t xml:space="preserve">tháng 02/2024 ước đạt 4,8 nghìn tỷ đồng. Lũy kế 2 tháng đầu năm 2024 đạt </w:t>
      </w:r>
      <w:r w:rsidRPr="009620E0">
        <w:rPr>
          <w:lang w:val="it-IT"/>
        </w:rPr>
        <w:t xml:space="preserve">9,7 </w:t>
      </w:r>
      <w:r w:rsidRPr="009620E0">
        <w:rPr>
          <w:lang w:val="nl-NL"/>
        </w:rPr>
        <w:t xml:space="preserve">nghìn tỷ đồng, bằng </w:t>
      </w:r>
      <w:r w:rsidRPr="009620E0">
        <w:rPr>
          <w:lang w:val="it-IT"/>
        </w:rPr>
        <w:t>21,2</w:t>
      </w:r>
      <w:r w:rsidRPr="009620E0">
        <w:rPr>
          <w:lang w:val="nl-NL"/>
        </w:rPr>
        <w:t xml:space="preserve">% dự toán năm và giảm 2,6% </w:t>
      </w:r>
      <w:r w:rsidRPr="009620E0">
        <w:rPr>
          <w:lang w:val="it-IT"/>
        </w:rPr>
        <w:t>so với cùng kỳ năm trước</w:t>
      </w:r>
      <w:r w:rsidRPr="009620E0">
        <w:rPr>
          <w:lang w:val="nl-NL"/>
        </w:rPr>
        <w:t xml:space="preserve">. </w:t>
      </w:r>
    </w:p>
    <w:p w14:paraId="375E7C78" w14:textId="77777777" w:rsidR="00066D3C" w:rsidRPr="009620E0" w:rsidRDefault="00066D3C" w:rsidP="00066D3C">
      <w:pPr>
        <w:spacing w:after="120" w:line="252" w:lineRule="auto"/>
        <w:ind w:firstLine="567"/>
        <w:jc w:val="both"/>
        <w:rPr>
          <w:lang w:val="nl-NL"/>
        </w:rPr>
      </w:pPr>
      <w:r w:rsidRPr="009620E0">
        <w:rPr>
          <w:i/>
          <w:lang w:val="nl-NL"/>
        </w:rPr>
        <w:t>- Thu cân đối ngân sách từ hoạt động xuất, nhập khẩu</w:t>
      </w:r>
      <w:r w:rsidRPr="009620E0">
        <w:rPr>
          <w:lang w:val="nl-NL"/>
        </w:rPr>
        <w:t xml:space="preserve"> tháng 02/2024 ước đạt 14,3 nghìn tỷ đồng. Lũy kế 2 tháng đầu năm 2024 đạt 33,8 nghìn tỷ đồng, bằng </w:t>
      </w:r>
      <w:r w:rsidRPr="009620E0">
        <w:rPr>
          <w:lang w:val="it-IT"/>
        </w:rPr>
        <w:t>16,6</w:t>
      </w:r>
      <w:r w:rsidRPr="009620E0">
        <w:rPr>
          <w:lang w:val="nl-NL"/>
        </w:rPr>
        <w:t xml:space="preserve">% dự toán năm và giảm 18,4% </w:t>
      </w:r>
      <w:r w:rsidRPr="009620E0">
        <w:rPr>
          <w:lang w:val="it-IT"/>
        </w:rPr>
        <w:t>so với cùng kỳ năm trước</w:t>
      </w:r>
      <w:r w:rsidRPr="009620E0">
        <w:rPr>
          <w:lang w:val="nl-NL"/>
        </w:rPr>
        <w:t xml:space="preserve">. </w:t>
      </w:r>
    </w:p>
    <w:p w14:paraId="3ED9D72B" w14:textId="77777777" w:rsidR="00066D3C" w:rsidRPr="009620E0" w:rsidRDefault="00066D3C" w:rsidP="00066D3C">
      <w:pPr>
        <w:spacing w:after="120" w:line="252" w:lineRule="auto"/>
        <w:ind w:firstLine="567"/>
        <w:jc w:val="both"/>
        <w:rPr>
          <w:b/>
          <w:i/>
          <w:lang w:val="nl-NL"/>
        </w:rPr>
      </w:pPr>
      <w:r w:rsidRPr="009620E0">
        <w:rPr>
          <w:b/>
          <w:i/>
          <w:lang w:val="nl-NL"/>
        </w:rPr>
        <w:t>Chi ngân sách Nhà nước:</w:t>
      </w:r>
    </w:p>
    <w:p w14:paraId="462062B7" w14:textId="77777777" w:rsidR="00066D3C" w:rsidRPr="009620E0" w:rsidRDefault="00066D3C" w:rsidP="00066D3C">
      <w:pPr>
        <w:spacing w:after="120" w:line="252" w:lineRule="auto"/>
        <w:ind w:firstLine="567"/>
        <w:jc w:val="both"/>
        <w:rPr>
          <w:lang w:val="nl-NL"/>
        </w:rPr>
      </w:pPr>
      <w:r w:rsidRPr="009620E0">
        <w:rPr>
          <w:lang w:val="nl-NL"/>
        </w:rPr>
        <w:t>Tổng chi ngân sách Nhà nước tháng 02/2024 ước đạt 117,8 nghìn tỷ đồng; lũy kế 2 tháng đầu năm 2024 ước đạt 260,7 nghìn tỷ đồng, bằng 12,3% dự toán năm và tăng 7,7% so với cùng kỳ năm trước</w:t>
      </w:r>
      <w:r w:rsidRPr="009620E0">
        <w:rPr>
          <w:lang w:val="vi-VN"/>
        </w:rPr>
        <w:t>. T</w:t>
      </w:r>
      <w:r w:rsidRPr="009620E0">
        <w:rPr>
          <w:lang w:val="nl-NL"/>
        </w:rPr>
        <w:t>rong đó</w:t>
      </w:r>
      <w:r w:rsidRPr="009620E0">
        <w:rPr>
          <w:lang w:val="vi-VN"/>
        </w:rPr>
        <w:t>, c</w:t>
      </w:r>
      <w:r w:rsidRPr="009620E0">
        <w:rPr>
          <w:lang w:val="nl-NL"/>
        </w:rPr>
        <w:t>hi thường xuyên 2 tháng đầu năm 2024 đạt 175 nghìn tỷ đồng, bằng 13,9% dự toán năm và tăng 2,3% so với cùng kỳ năm trước; chi đầu tư phát triển đạt gần 60 nghìn tỷ đồng, bằng 8,9% và tăng 21,8%; chi trả nợ lãi 25,7 nghìn tỷ đồng, bằng 23% và tăng 18,8%.</w:t>
      </w:r>
    </w:p>
    <w:p w14:paraId="0590D690" w14:textId="433B99A2" w:rsidR="00865420" w:rsidRPr="009620E0" w:rsidRDefault="00865420" w:rsidP="00066D3C">
      <w:pPr>
        <w:spacing w:after="120" w:line="252" w:lineRule="auto"/>
        <w:ind w:firstLine="567"/>
        <w:jc w:val="both"/>
        <w:rPr>
          <w:b/>
          <w:bCs/>
          <w:lang w:val="nl-NL"/>
        </w:rPr>
      </w:pPr>
      <w:r w:rsidRPr="009620E0">
        <w:rPr>
          <w:b/>
          <w:bCs/>
          <w:lang w:val="nl-NL"/>
        </w:rPr>
        <w:lastRenderedPageBreak/>
        <w:t>6. Thương mại, giá cả, vận tải và du lịch</w:t>
      </w:r>
    </w:p>
    <w:p w14:paraId="2083FF7F" w14:textId="77777777" w:rsidR="00865420" w:rsidRPr="009620E0" w:rsidRDefault="00865420" w:rsidP="00066D3C">
      <w:pPr>
        <w:spacing w:after="120" w:line="252" w:lineRule="auto"/>
        <w:ind w:firstLine="567"/>
        <w:rPr>
          <w:b/>
          <w:i/>
          <w:lang w:val="it-IT"/>
        </w:rPr>
      </w:pPr>
      <w:r w:rsidRPr="009620E0">
        <w:rPr>
          <w:b/>
          <w:i/>
          <w:lang w:val="it-IT"/>
        </w:rPr>
        <w:t>a) Bán lẻ hàng hóa và doanh thu dịch vụ tiêu dùng</w:t>
      </w:r>
    </w:p>
    <w:p w14:paraId="02ED72EC" w14:textId="083F7A3D" w:rsidR="00865420" w:rsidRPr="009620E0" w:rsidRDefault="00865420" w:rsidP="00066D3C">
      <w:pPr>
        <w:spacing w:after="120" w:line="252" w:lineRule="auto"/>
        <w:ind w:firstLine="567"/>
        <w:jc w:val="both"/>
        <w:rPr>
          <w:i/>
          <w:lang w:val="it-IT"/>
        </w:rPr>
      </w:pPr>
      <w:r w:rsidRPr="009620E0">
        <w:rPr>
          <w:bCs/>
          <w:i/>
          <w:lang w:val="it-IT"/>
        </w:rPr>
        <w:t xml:space="preserve">Tháng Hai trùng với Tết Nguyên đán, nhu cầu tiêu dùng, mua sắm và du lịch của người dân tăng cao nên </w:t>
      </w:r>
      <w:r w:rsidRPr="009620E0">
        <w:rPr>
          <w:i/>
          <w:lang w:val="it-IT"/>
        </w:rPr>
        <w:t xml:space="preserve">tổng mức bán lẻ hàng hóa và doanh thu dịch vụ tiêu dùng </w:t>
      </w:r>
      <w:r w:rsidRPr="009620E0">
        <w:rPr>
          <w:bCs/>
          <w:i/>
          <w:lang w:val="it-IT"/>
        </w:rPr>
        <w:t xml:space="preserve">tăng 8,5% so với cùng kỳ năm trước. </w:t>
      </w:r>
      <w:r w:rsidRPr="009620E0">
        <w:rPr>
          <w:i/>
          <w:lang w:val="it-IT"/>
        </w:rPr>
        <w:t xml:space="preserve">Tính chung </w:t>
      </w:r>
      <w:r w:rsidR="00E110EA" w:rsidRPr="009620E0">
        <w:rPr>
          <w:i/>
          <w:lang w:val="it-IT"/>
        </w:rPr>
        <w:t>2</w:t>
      </w:r>
      <w:r w:rsidRPr="009620E0">
        <w:rPr>
          <w:i/>
          <w:lang w:val="it-IT"/>
        </w:rPr>
        <w:t xml:space="preserve"> tháng đầu năm 2024, tổng mức bán lẻ hàng hóa và doanh thu dịch vụ tiêu dùng tăng 8,1% so với cùng kỳ năm trước, trong đó doanh thu dịch vụ lưu trú, ăn uống tăng 14%; doanh thu du lịch lữ hành tăng 35,8%.</w:t>
      </w:r>
    </w:p>
    <w:p w14:paraId="6A5E7BA8" w14:textId="35830512" w:rsidR="00865420" w:rsidRPr="009620E0" w:rsidRDefault="00865420" w:rsidP="00066D3C">
      <w:pPr>
        <w:spacing w:after="120" w:line="252" w:lineRule="auto"/>
        <w:ind w:firstLine="567"/>
        <w:jc w:val="both"/>
        <w:rPr>
          <w:iCs/>
          <w:lang w:val="vi-VN"/>
        </w:rPr>
      </w:pPr>
      <w:r w:rsidRPr="009620E0">
        <w:rPr>
          <w:bCs/>
          <w:iCs/>
          <w:lang w:val="it-IT"/>
        </w:rPr>
        <w:t>Tổng mức bán lẻ hàng hóa và doanh thu dịch vụ tiêu dùng theo giá hiện hành tháng 02/2024 ước đạt 509,7 nghìn tỷ đồng, giảm 2,3% so với tháng trước và tăng 8,5% so với cùng kỳ năm trước</w:t>
      </w:r>
      <w:r w:rsidR="00BB32A2" w:rsidRPr="009620E0">
        <w:rPr>
          <w:bCs/>
          <w:iCs/>
          <w:lang w:val="it-IT"/>
        </w:rPr>
        <w:t>. T</w:t>
      </w:r>
      <w:r w:rsidRPr="009620E0">
        <w:rPr>
          <w:bCs/>
          <w:iCs/>
          <w:lang w:val="it-IT"/>
        </w:rPr>
        <w:t>rong đó</w:t>
      </w:r>
      <w:r w:rsidR="00BB32A2" w:rsidRPr="009620E0">
        <w:rPr>
          <w:bCs/>
          <w:iCs/>
          <w:lang w:val="it-IT"/>
        </w:rPr>
        <w:t>,</w:t>
      </w:r>
      <w:r w:rsidR="0071441A" w:rsidRPr="009620E0">
        <w:rPr>
          <w:bCs/>
          <w:iCs/>
          <w:lang w:val="it-IT"/>
        </w:rPr>
        <w:t xml:space="preserve"> </w:t>
      </w:r>
      <w:r w:rsidR="00BB32A2" w:rsidRPr="009620E0">
        <w:rPr>
          <w:bCs/>
          <w:iCs/>
          <w:lang w:val="it-IT"/>
        </w:rPr>
        <w:t>n</w:t>
      </w:r>
      <w:r w:rsidRPr="009620E0">
        <w:rPr>
          <w:bCs/>
          <w:iCs/>
          <w:lang w:val="it-IT"/>
        </w:rPr>
        <w:t>hóm hàng l</w:t>
      </w:r>
      <w:r w:rsidRPr="009620E0">
        <w:rPr>
          <w:iCs/>
          <w:lang w:val="it-IT"/>
        </w:rPr>
        <w:t>ương thực, thực phẩm tăng 14,9%; đồ dùng, dụng cụ, trang thiết bị gia đình tăng 22,6%; may mặc tăng 20,8%;</w:t>
      </w:r>
      <w:r w:rsidRPr="009620E0">
        <w:rPr>
          <w:bCs/>
          <w:iCs/>
          <w:lang w:val="it-IT"/>
        </w:rPr>
        <w:t xml:space="preserve"> dịch vụ lưu trú, ăn uống tăng 18,4%; du lịch lữ hành tăng 60% so với cùng kỳ năm trước.</w:t>
      </w:r>
    </w:p>
    <w:p w14:paraId="45BAD784" w14:textId="77777777" w:rsidR="00865420" w:rsidRPr="009620E0" w:rsidRDefault="00865420" w:rsidP="00865420">
      <w:pPr>
        <w:spacing w:before="60" w:after="60" w:line="288" w:lineRule="auto"/>
        <w:jc w:val="center"/>
        <w:rPr>
          <w:rFonts w:ascii="Arial" w:hAnsi="Arial" w:cs="Arial"/>
          <w:b/>
          <w:bCs/>
          <w:spacing w:val="-6"/>
          <w:sz w:val="24"/>
          <w:szCs w:val="26"/>
          <w:lang w:val="it-IT"/>
        </w:rPr>
      </w:pPr>
      <w:r w:rsidRPr="009620E0">
        <w:rPr>
          <w:rFonts w:ascii="Arial" w:hAnsi="Arial" w:cs="Arial"/>
          <w:b/>
          <w:spacing w:val="-2"/>
          <w:sz w:val="24"/>
          <w:szCs w:val="26"/>
          <w:lang w:val="pl-PL"/>
        </w:rPr>
        <w:t xml:space="preserve">Biểu 3. </w:t>
      </w:r>
      <w:r w:rsidRPr="009620E0">
        <w:rPr>
          <w:rFonts w:ascii="Arial" w:hAnsi="Arial" w:cs="Arial"/>
          <w:b/>
          <w:bCs/>
          <w:spacing w:val="-6"/>
          <w:sz w:val="24"/>
          <w:szCs w:val="26"/>
          <w:lang w:val="it-IT"/>
        </w:rPr>
        <w:t>Tổng mức bán lẻ hàng hóa và doanh thu dịch vụ tiêu dùng</w:t>
      </w:r>
      <w:r w:rsidRPr="009620E0">
        <w:rPr>
          <w:rFonts w:ascii="Arial" w:hAnsi="Arial" w:cs="Arial"/>
          <w:b/>
          <w:bCs/>
          <w:spacing w:val="-6"/>
          <w:sz w:val="24"/>
          <w:szCs w:val="26"/>
          <w:lang w:val="it-IT"/>
        </w:rPr>
        <w:br/>
        <w:t>theo giá hiện hành</w:t>
      </w:r>
    </w:p>
    <w:p w14:paraId="2BEABA9F" w14:textId="77777777" w:rsidR="00865420" w:rsidRPr="009620E0" w:rsidRDefault="00865420" w:rsidP="00865420">
      <w:pPr>
        <w:tabs>
          <w:tab w:val="left" w:pos="2835"/>
        </w:tabs>
        <w:spacing w:before="60" w:after="60" w:line="288" w:lineRule="auto"/>
        <w:ind w:firstLine="561"/>
        <w:jc w:val="right"/>
        <w:rPr>
          <w:rFonts w:ascii="Arial" w:hAnsi="Arial" w:cs="Arial"/>
          <w:b/>
          <w:bCs/>
          <w:i/>
          <w:spacing w:val="-6"/>
          <w:sz w:val="20"/>
          <w:szCs w:val="20"/>
        </w:rPr>
      </w:pPr>
      <w:r w:rsidRPr="009620E0">
        <w:rPr>
          <w:rFonts w:ascii="Arial" w:hAnsi="Arial" w:cs="Arial"/>
          <w:b/>
          <w:bCs/>
          <w:i/>
          <w:spacing w:val="-6"/>
          <w:sz w:val="20"/>
          <w:szCs w:val="20"/>
        </w:rPr>
        <w:t>Nghìn tỷ đồng</w:t>
      </w:r>
    </w:p>
    <w:tbl>
      <w:tblPr>
        <w:tblW w:w="9049" w:type="dxa"/>
        <w:jc w:val="center"/>
        <w:tblLayout w:type="fixed"/>
        <w:tblLook w:val="04A0" w:firstRow="1" w:lastRow="0" w:firstColumn="1" w:lastColumn="0" w:noHBand="0" w:noVBand="1"/>
      </w:tblPr>
      <w:tblGrid>
        <w:gridCol w:w="2672"/>
        <w:gridCol w:w="1630"/>
        <w:gridCol w:w="1630"/>
        <w:gridCol w:w="1631"/>
        <w:gridCol w:w="1486"/>
      </w:tblGrid>
      <w:tr w:rsidR="009620E0" w:rsidRPr="009620E0" w14:paraId="70EB1612" w14:textId="77777777" w:rsidTr="00066D3C">
        <w:trPr>
          <w:cantSplit/>
          <w:trHeight w:val="219"/>
          <w:jc w:val="center"/>
        </w:trPr>
        <w:tc>
          <w:tcPr>
            <w:tcW w:w="2672" w:type="dxa"/>
            <w:tcBorders>
              <w:top w:val="single" w:sz="8" w:space="0" w:color="auto"/>
              <w:left w:val="nil"/>
              <w:bottom w:val="nil"/>
              <w:right w:val="nil"/>
            </w:tcBorders>
            <w:vAlign w:val="center"/>
            <w:hideMark/>
          </w:tcPr>
          <w:p w14:paraId="67062D2B" w14:textId="77777777" w:rsidR="00865420" w:rsidRPr="009620E0" w:rsidRDefault="00865420" w:rsidP="00066D3C">
            <w:pPr>
              <w:jc w:val="both"/>
              <w:rPr>
                <w:rFonts w:ascii="Arial" w:hAnsi="Arial" w:cs="Arial"/>
                <w:kern w:val="2"/>
                <w:sz w:val="20"/>
                <w:szCs w:val="20"/>
                <w14:ligatures w14:val="standardContextual"/>
              </w:rPr>
            </w:pPr>
            <w:r w:rsidRPr="009620E0">
              <w:rPr>
                <w:rFonts w:ascii="Arial" w:hAnsi="Arial" w:cs="Arial"/>
                <w:bCs/>
                <w:kern w:val="2"/>
                <w:sz w:val="20"/>
                <w:szCs w:val="20"/>
                <w14:ligatures w14:val="standardContextual"/>
              </w:rPr>
              <w:t> </w:t>
            </w:r>
          </w:p>
        </w:tc>
        <w:tc>
          <w:tcPr>
            <w:tcW w:w="1630" w:type="dxa"/>
            <w:vMerge w:val="restart"/>
            <w:tcBorders>
              <w:top w:val="single" w:sz="4" w:space="0" w:color="auto"/>
              <w:left w:val="nil"/>
              <w:bottom w:val="single" w:sz="4" w:space="0" w:color="auto"/>
              <w:right w:val="nil"/>
            </w:tcBorders>
            <w:vAlign w:val="center"/>
            <w:hideMark/>
          </w:tcPr>
          <w:p w14:paraId="72FFA86E" w14:textId="77777777"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Ước tính</w:t>
            </w:r>
          </w:p>
          <w:p w14:paraId="54ED6DAF" w14:textId="36ECEF7E"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tháng 2</w:t>
            </w:r>
          </w:p>
          <w:p w14:paraId="3395B7CE" w14:textId="77777777"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năm 2024</w:t>
            </w:r>
          </w:p>
        </w:tc>
        <w:tc>
          <w:tcPr>
            <w:tcW w:w="1630" w:type="dxa"/>
            <w:vMerge w:val="restart"/>
            <w:tcBorders>
              <w:top w:val="single" w:sz="4" w:space="0" w:color="auto"/>
              <w:left w:val="nil"/>
              <w:bottom w:val="single" w:sz="4" w:space="0" w:color="auto"/>
              <w:right w:val="nil"/>
            </w:tcBorders>
            <w:vAlign w:val="center"/>
            <w:hideMark/>
          </w:tcPr>
          <w:p w14:paraId="11B91C86" w14:textId="77777777" w:rsidR="00865420" w:rsidRPr="009620E0" w:rsidRDefault="00865420" w:rsidP="00066D3C">
            <w:pPr>
              <w:jc w:val="center"/>
              <w:rPr>
                <w:rFonts w:ascii="Arial" w:hAnsi="Arial" w:cs="Arial"/>
                <w:kern w:val="2"/>
                <w:sz w:val="20"/>
                <w:szCs w:val="20"/>
                <w:lang w:val="pt-BR"/>
                <w14:ligatures w14:val="standardContextual"/>
              </w:rPr>
            </w:pPr>
            <w:r w:rsidRPr="009620E0">
              <w:rPr>
                <w:rFonts w:ascii="Arial" w:hAnsi="Arial" w:cs="Arial"/>
                <w:kern w:val="2"/>
                <w:sz w:val="20"/>
                <w:szCs w:val="20"/>
                <w:lang w:val="pt-BR"/>
                <w14:ligatures w14:val="standardContextual"/>
              </w:rPr>
              <w:t>Ước tính</w:t>
            </w:r>
          </w:p>
          <w:p w14:paraId="05880D7C" w14:textId="1797D5AC" w:rsidR="00865420" w:rsidRPr="009620E0" w:rsidRDefault="00865420" w:rsidP="00066D3C">
            <w:pPr>
              <w:jc w:val="center"/>
              <w:rPr>
                <w:rFonts w:ascii="Arial" w:hAnsi="Arial" w:cs="Arial"/>
                <w:kern w:val="2"/>
                <w:sz w:val="20"/>
                <w:szCs w:val="20"/>
                <w:lang w:val="pt-BR"/>
                <w14:ligatures w14:val="standardContextual"/>
              </w:rPr>
            </w:pPr>
            <w:r w:rsidRPr="009620E0">
              <w:rPr>
                <w:rFonts w:ascii="Arial" w:hAnsi="Arial" w:cs="Arial"/>
                <w:kern w:val="2"/>
                <w:sz w:val="20"/>
                <w:szCs w:val="20"/>
                <w:lang w:val="pt-BR"/>
                <w14:ligatures w14:val="standardContextual"/>
              </w:rPr>
              <w:t xml:space="preserve">2 tháng </w:t>
            </w:r>
          </w:p>
          <w:p w14:paraId="4F7A087E" w14:textId="77777777" w:rsidR="00865420" w:rsidRPr="009620E0" w:rsidRDefault="00865420" w:rsidP="00066D3C">
            <w:pPr>
              <w:jc w:val="center"/>
              <w:rPr>
                <w:rFonts w:ascii="Arial" w:hAnsi="Arial" w:cs="Arial"/>
                <w:kern w:val="2"/>
                <w:sz w:val="20"/>
                <w:szCs w:val="20"/>
                <w:lang w:val="pt-BR"/>
                <w14:ligatures w14:val="standardContextual"/>
              </w:rPr>
            </w:pPr>
            <w:r w:rsidRPr="009620E0">
              <w:rPr>
                <w:rFonts w:ascii="Arial" w:hAnsi="Arial" w:cs="Arial"/>
                <w:kern w:val="2"/>
                <w:sz w:val="20"/>
                <w:szCs w:val="20"/>
                <w:lang w:val="pt-BR"/>
                <w14:ligatures w14:val="standardContextual"/>
              </w:rPr>
              <w:t>năm 2024</w:t>
            </w:r>
          </w:p>
        </w:tc>
        <w:tc>
          <w:tcPr>
            <w:tcW w:w="3117" w:type="dxa"/>
            <w:gridSpan w:val="2"/>
            <w:vMerge w:val="restart"/>
            <w:tcBorders>
              <w:top w:val="single" w:sz="4" w:space="0" w:color="auto"/>
              <w:left w:val="nil"/>
              <w:bottom w:val="single" w:sz="4" w:space="0" w:color="auto"/>
              <w:right w:val="nil"/>
            </w:tcBorders>
            <w:vAlign w:val="center"/>
            <w:hideMark/>
          </w:tcPr>
          <w:p w14:paraId="17A49754" w14:textId="77777777" w:rsidR="00865420" w:rsidRPr="009620E0" w:rsidRDefault="00865420" w:rsidP="00066D3C">
            <w:pPr>
              <w:jc w:val="center"/>
              <w:rPr>
                <w:rFonts w:ascii="Arial" w:hAnsi="Arial" w:cs="Arial"/>
                <w:kern w:val="2"/>
                <w:sz w:val="20"/>
                <w:szCs w:val="20"/>
                <w:lang w:val="pt-BR"/>
                <w14:ligatures w14:val="standardContextual"/>
              </w:rPr>
            </w:pPr>
            <w:r w:rsidRPr="009620E0">
              <w:rPr>
                <w:rFonts w:ascii="Arial" w:hAnsi="Arial" w:cs="Arial"/>
                <w:kern w:val="2"/>
                <w:sz w:val="20"/>
                <w:szCs w:val="20"/>
                <w:lang w:val="pt-BR"/>
                <w14:ligatures w14:val="standardContextual"/>
              </w:rPr>
              <w:t>Tốc độ tăng so với</w:t>
            </w:r>
          </w:p>
          <w:p w14:paraId="204E24EB" w14:textId="77777777" w:rsidR="00865420" w:rsidRPr="009620E0" w:rsidRDefault="00865420" w:rsidP="00066D3C">
            <w:pPr>
              <w:jc w:val="center"/>
              <w:rPr>
                <w:rFonts w:ascii="Arial" w:hAnsi="Arial" w:cs="Arial"/>
                <w:kern w:val="2"/>
                <w:sz w:val="20"/>
                <w:szCs w:val="20"/>
                <w:lang w:val="pt-BR"/>
                <w14:ligatures w14:val="standardContextual"/>
              </w:rPr>
            </w:pPr>
            <w:r w:rsidRPr="009620E0">
              <w:rPr>
                <w:rFonts w:ascii="Arial" w:hAnsi="Arial" w:cs="Arial"/>
                <w:kern w:val="2"/>
                <w:sz w:val="20"/>
                <w:szCs w:val="20"/>
                <w:lang w:val="pt-BR"/>
                <w14:ligatures w14:val="standardContextual"/>
              </w:rPr>
              <w:t>cùng kỳ năm trước (%)</w:t>
            </w:r>
          </w:p>
        </w:tc>
      </w:tr>
      <w:tr w:rsidR="009620E0" w:rsidRPr="009620E0" w14:paraId="766444E5" w14:textId="77777777" w:rsidTr="00066D3C">
        <w:trPr>
          <w:cantSplit/>
          <w:trHeight w:val="184"/>
          <w:jc w:val="center"/>
        </w:trPr>
        <w:tc>
          <w:tcPr>
            <w:tcW w:w="2672" w:type="dxa"/>
            <w:vAlign w:val="center"/>
            <w:hideMark/>
          </w:tcPr>
          <w:p w14:paraId="05BAB46B" w14:textId="77777777" w:rsidR="00865420" w:rsidRPr="009620E0" w:rsidRDefault="00865420" w:rsidP="00066D3C">
            <w:pPr>
              <w:rPr>
                <w:rFonts w:ascii="Arial" w:hAnsi="Arial" w:cs="Arial"/>
                <w:kern w:val="2"/>
                <w:sz w:val="20"/>
                <w:szCs w:val="20"/>
                <w:lang w:val="pt-BR"/>
                <w14:ligatures w14:val="standardContextual"/>
              </w:rPr>
            </w:pPr>
          </w:p>
        </w:tc>
        <w:tc>
          <w:tcPr>
            <w:tcW w:w="1630" w:type="dxa"/>
            <w:vMerge/>
            <w:tcBorders>
              <w:top w:val="single" w:sz="4" w:space="0" w:color="auto"/>
              <w:left w:val="nil"/>
              <w:bottom w:val="single" w:sz="4" w:space="0" w:color="auto"/>
              <w:right w:val="nil"/>
            </w:tcBorders>
            <w:vAlign w:val="center"/>
            <w:hideMark/>
          </w:tcPr>
          <w:p w14:paraId="66A8145B" w14:textId="77777777" w:rsidR="00865420" w:rsidRPr="009620E0" w:rsidRDefault="00865420" w:rsidP="00066D3C">
            <w:pPr>
              <w:rPr>
                <w:rFonts w:ascii="Arial" w:hAnsi="Arial" w:cs="Arial"/>
                <w:kern w:val="2"/>
                <w:sz w:val="20"/>
                <w:szCs w:val="20"/>
                <w14:ligatures w14:val="standardContextual"/>
              </w:rPr>
            </w:pPr>
          </w:p>
        </w:tc>
        <w:tc>
          <w:tcPr>
            <w:tcW w:w="1630" w:type="dxa"/>
            <w:vMerge/>
            <w:tcBorders>
              <w:top w:val="single" w:sz="4" w:space="0" w:color="auto"/>
              <w:left w:val="nil"/>
              <w:bottom w:val="single" w:sz="4" w:space="0" w:color="auto"/>
              <w:right w:val="nil"/>
            </w:tcBorders>
            <w:vAlign w:val="center"/>
            <w:hideMark/>
          </w:tcPr>
          <w:p w14:paraId="5921DCB2" w14:textId="77777777" w:rsidR="00865420" w:rsidRPr="009620E0" w:rsidRDefault="00865420" w:rsidP="00066D3C">
            <w:pPr>
              <w:rPr>
                <w:rFonts w:ascii="Arial" w:hAnsi="Arial" w:cs="Arial"/>
                <w:kern w:val="2"/>
                <w:sz w:val="20"/>
                <w:szCs w:val="20"/>
                <w:lang w:val="pt-BR"/>
                <w14:ligatures w14:val="standardContextual"/>
              </w:rPr>
            </w:pPr>
          </w:p>
        </w:tc>
        <w:tc>
          <w:tcPr>
            <w:tcW w:w="3117" w:type="dxa"/>
            <w:gridSpan w:val="2"/>
            <w:vMerge/>
            <w:tcBorders>
              <w:top w:val="single" w:sz="4" w:space="0" w:color="auto"/>
              <w:left w:val="nil"/>
              <w:bottom w:val="single" w:sz="4" w:space="0" w:color="auto"/>
              <w:right w:val="nil"/>
            </w:tcBorders>
            <w:vAlign w:val="center"/>
            <w:hideMark/>
          </w:tcPr>
          <w:p w14:paraId="031C7940" w14:textId="77777777" w:rsidR="00865420" w:rsidRPr="009620E0" w:rsidRDefault="00865420" w:rsidP="00066D3C">
            <w:pPr>
              <w:rPr>
                <w:rFonts w:ascii="Arial" w:hAnsi="Arial" w:cs="Arial"/>
                <w:kern w:val="2"/>
                <w:sz w:val="20"/>
                <w:szCs w:val="20"/>
                <w:lang w:val="pt-BR"/>
                <w14:ligatures w14:val="standardContextual"/>
              </w:rPr>
            </w:pPr>
          </w:p>
        </w:tc>
      </w:tr>
      <w:tr w:rsidR="009620E0" w:rsidRPr="009620E0" w14:paraId="19D86AC7" w14:textId="77777777" w:rsidTr="00066D3C">
        <w:trPr>
          <w:cantSplit/>
          <w:trHeight w:val="101"/>
          <w:jc w:val="center"/>
        </w:trPr>
        <w:tc>
          <w:tcPr>
            <w:tcW w:w="2672" w:type="dxa"/>
            <w:vAlign w:val="center"/>
            <w:hideMark/>
          </w:tcPr>
          <w:p w14:paraId="7FB3EB51" w14:textId="77777777" w:rsidR="00865420" w:rsidRPr="009620E0" w:rsidRDefault="00865420" w:rsidP="00066D3C">
            <w:pPr>
              <w:rPr>
                <w:rFonts w:asciiTheme="minorHAnsi" w:eastAsiaTheme="minorHAnsi" w:hAnsiTheme="minorHAnsi" w:cstheme="minorBidi"/>
                <w:sz w:val="20"/>
                <w:szCs w:val="20"/>
              </w:rPr>
            </w:pPr>
          </w:p>
        </w:tc>
        <w:tc>
          <w:tcPr>
            <w:tcW w:w="1630" w:type="dxa"/>
            <w:vMerge/>
            <w:tcBorders>
              <w:top w:val="single" w:sz="4" w:space="0" w:color="auto"/>
              <w:left w:val="nil"/>
              <w:bottom w:val="single" w:sz="4" w:space="0" w:color="auto"/>
              <w:right w:val="nil"/>
            </w:tcBorders>
            <w:vAlign w:val="center"/>
            <w:hideMark/>
          </w:tcPr>
          <w:p w14:paraId="3457895F" w14:textId="77777777" w:rsidR="00865420" w:rsidRPr="009620E0" w:rsidRDefault="00865420" w:rsidP="00066D3C">
            <w:pPr>
              <w:rPr>
                <w:rFonts w:ascii="Arial" w:hAnsi="Arial" w:cs="Arial"/>
                <w:kern w:val="2"/>
                <w:sz w:val="20"/>
                <w:szCs w:val="20"/>
                <w14:ligatures w14:val="standardContextual"/>
              </w:rPr>
            </w:pPr>
          </w:p>
        </w:tc>
        <w:tc>
          <w:tcPr>
            <w:tcW w:w="1630" w:type="dxa"/>
            <w:vMerge/>
            <w:tcBorders>
              <w:top w:val="single" w:sz="4" w:space="0" w:color="auto"/>
              <w:left w:val="nil"/>
              <w:bottom w:val="single" w:sz="4" w:space="0" w:color="auto"/>
              <w:right w:val="nil"/>
            </w:tcBorders>
            <w:vAlign w:val="center"/>
            <w:hideMark/>
          </w:tcPr>
          <w:p w14:paraId="1D3DE099" w14:textId="77777777" w:rsidR="00865420" w:rsidRPr="009620E0" w:rsidRDefault="00865420" w:rsidP="00066D3C">
            <w:pPr>
              <w:rPr>
                <w:rFonts w:ascii="Arial" w:hAnsi="Arial" w:cs="Arial"/>
                <w:kern w:val="2"/>
                <w:sz w:val="20"/>
                <w:szCs w:val="20"/>
                <w:lang w:val="pt-BR"/>
                <w14:ligatures w14:val="standardContextual"/>
              </w:rPr>
            </w:pPr>
          </w:p>
        </w:tc>
        <w:tc>
          <w:tcPr>
            <w:tcW w:w="1631" w:type="dxa"/>
            <w:vMerge w:val="restart"/>
            <w:tcBorders>
              <w:top w:val="nil"/>
              <w:left w:val="nil"/>
              <w:bottom w:val="single" w:sz="4" w:space="0" w:color="auto"/>
              <w:right w:val="nil"/>
            </w:tcBorders>
            <w:vAlign w:val="center"/>
            <w:hideMark/>
          </w:tcPr>
          <w:p w14:paraId="69DE1450" w14:textId="3AAC7D9B"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Tháng 2</w:t>
            </w:r>
          </w:p>
          <w:p w14:paraId="07BE2CE3" w14:textId="77777777"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năm 2024</w:t>
            </w:r>
          </w:p>
        </w:tc>
        <w:tc>
          <w:tcPr>
            <w:tcW w:w="1485" w:type="dxa"/>
            <w:vMerge w:val="restart"/>
            <w:tcBorders>
              <w:top w:val="nil"/>
              <w:left w:val="nil"/>
              <w:bottom w:val="single" w:sz="4" w:space="0" w:color="auto"/>
              <w:right w:val="nil"/>
            </w:tcBorders>
            <w:vAlign w:val="center"/>
            <w:hideMark/>
          </w:tcPr>
          <w:p w14:paraId="25CCC28E" w14:textId="065B6C11"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2 tháng </w:t>
            </w:r>
          </w:p>
          <w:p w14:paraId="3B507D01" w14:textId="77777777" w:rsidR="00865420" w:rsidRPr="009620E0" w:rsidRDefault="00865420" w:rsidP="00066D3C">
            <w:pPr>
              <w:jc w:val="center"/>
              <w:rPr>
                <w:rFonts w:ascii="Arial" w:hAnsi="Arial" w:cs="Arial"/>
                <w:kern w:val="2"/>
                <w:sz w:val="20"/>
                <w:szCs w:val="20"/>
                <w14:ligatures w14:val="standardContextual"/>
              </w:rPr>
            </w:pPr>
            <w:r w:rsidRPr="009620E0">
              <w:rPr>
                <w:rFonts w:ascii="Arial" w:hAnsi="Arial" w:cs="Arial"/>
                <w:kern w:val="2"/>
                <w:sz w:val="20"/>
                <w:szCs w:val="20"/>
                <w14:ligatures w14:val="standardContextual"/>
              </w:rPr>
              <w:t>năm 2024</w:t>
            </w:r>
          </w:p>
        </w:tc>
      </w:tr>
      <w:tr w:rsidR="009620E0" w:rsidRPr="009620E0" w14:paraId="266DBB76" w14:textId="77777777" w:rsidTr="00066D3C">
        <w:trPr>
          <w:cantSplit/>
          <w:trHeight w:val="282"/>
          <w:jc w:val="center"/>
        </w:trPr>
        <w:tc>
          <w:tcPr>
            <w:tcW w:w="2672" w:type="dxa"/>
            <w:vAlign w:val="center"/>
            <w:hideMark/>
          </w:tcPr>
          <w:p w14:paraId="1E851ED9" w14:textId="77777777" w:rsidR="00865420" w:rsidRPr="009620E0" w:rsidRDefault="00865420" w:rsidP="00066D3C">
            <w:pPr>
              <w:rPr>
                <w:rFonts w:ascii="Arial" w:hAnsi="Arial" w:cs="Arial"/>
                <w:kern w:val="2"/>
                <w:sz w:val="20"/>
                <w:szCs w:val="20"/>
                <w14:ligatures w14:val="standardContextual"/>
              </w:rPr>
            </w:pPr>
          </w:p>
        </w:tc>
        <w:tc>
          <w:tcPr>
            <w:tcW w:w="1630" w:type="dxa"/>
            <w:vMerge/>
            <w:tcBorders>
              <w:top w:val="single" w:sz="4" w:space="0" w:color="auto"/>
              <w:left w:val="nil"/>
              <w:bottom w:val="single" w:sz="4" w:space="0" w:color="auto"/>
              <w:right w:val="nil"/>
            </w:tcBorders>
            <w:vAlign w:val="center"/>
            <w:hideMark/>
          </w:tcPr>
          <w:p w14:paraId="73FD3A67" w14:textId="77777777" w:rsidR="00865420" w:rsidRPr="009620E0" w:rsidRDefault="00865420" w:rsidP="00066D3C">
            <w:pPr>
              <w:rPr>
                <w:rFonts w:ascii="Arial" w:hAnsi="Arial" w:cs="Arial"/>
                <w:kern w:val="2"/>
                <w:sz w:val="20"/>
                <w:szCs w:val="20"/>
                <w14:ligatures w14:val="standardContextual"/>
              </w:rPr>
            </w:pPr>
          </w:p>
        </w:tc>
        <w:tc>
          <w:tcPr>
            <w:tcW w:w="1630" w:type="dxa"/>
            <w:vMerge/>
            <w:tcBorders>
              <w:top w:val="single" w:sz="4" w:space="0" w:color="auto"/>
              <w:left w:val="nil"/>
              <w:bottom w:val="single" w:sz="4" w:space="0" w:color="auto"/>
              <w:right w:val="nil"/>
            </w:tcBorders>
            <w:vAlign w:val="center"/>
            <w:hideMark/>
          </w:tcPr>
          <w:p w14:paraId="54B67DDF" w14:textId="77777777" w:rsidR="00865420" w:rsidRPr="009620E0" w:rsidRDefault="00865420" w:rsidP="00066D3C">
            <w:pPr>
              <w:rPr>
                <w:rFonts w:ascii="Arial" w:hAnsi="Arial" w:cs="Arial"/>
                <w:kern w:val="2"/>
                <w:sz w:val="20"/>
                <w:szCs w:val="20"/>
                <w:lang w:val="pt-BR"/>
                <w14:ligatures w14:val="standardContextual"/>
              </w:rPr>
            </w:pPr>
          </w:p>
        </w:tc>
        <w:tc>
          <w:tcPr>
            <w:tcW w:w="1631" w:type="dxa"/>
            <w:vMerge/>
            <w:tcBorders>
              <w:top w:val="nil"/>
              <w:left w:val="nil"/>
              <w:bottom w:val="single" w:sz="4" w:space="0" w:color="auto"/>
              <w:right w:val="nil"/>
            </w:tcBorders>
            <w:vAlign w:val="center"/>
            <w:hideMark/>
          </w:tcPr>
          <w:p w14:paraId="7807C8F9" w14:textId="77777777" w:rsidR="00865420" w:rsidRPr="009620E0" w:rsidRDefault="00865420" w:rsidP="00066D3C">
            <w:pPr>
              <w:rPr>
                <w:rFonts w:ascii="Arial" w:hAnsi="Arial" w:cs="Arial"/>
                <w:kern w:val="2"/>
                <w:sz w:val="20"/>
                <w:szCs w:val="20"/>
                <w14:ligatures w14:val="standardContextual"/>
              </w:rPr>
            </w:pPr>
          </w:p>
        </w:tc>
        <w:tc>
          <w:tcPr>
            <w:tcW w:w="1485" w:type="dxa"/>
            <w:vMerge/>
            <w:tcBorders>
              <w:top w:val="nil"/>
              <w:left w:val="nil"/>
              <w:bottom w:val="single" w:sz="4" w:space="0" w:color="auto"/>
              <w:right w:val="nil"/>
            </w:tcBorders>
            <w:vAlign w:val="center"/>
            <w:hideMark/>
          </w:tcPr>
          <w:p w14:paraId="5DB5E70D" w14:textId="77777777" w:rsidR="00865420" w:rsidRPr="009620E0" w:rsidRDefault="00865420" w:rsidP="00066D3C">
            <w:pPr>
              <w:rPr>
                <w:rFonts w:ascii="Arial" w:hAnsi="Arial" w:cs="Arial"/>
                <w:kern w:val="2"/>
                <w:sz w:val="20"/>
                <w:szCs w:val="20"/>
                <w14:ligatures w14:val="standardContextual"/>
              </w:rPr>
            </w:pPr>
          </w:p>
        </w:tc>
      </w:tr>
      <w:tr w:rsidR="009620E0" w:rsidRPr="009620E0" w14:paraId="2FB5FD57" w14:textId="77777777" w:rsidTr="00066D3C">
        <w:trPr>
          <w:cantSplit/>
          <w:trHeight w:val="331"/>
          <w:jc w:val="center"/>
        </w:trPr>
        <w:tc>
          <w:tcPr>
            <w:tcW w:w="2672" w:type="dxa"/>
            <w:vAlign w:val="center"/>
            <w:hideMark/>
          </w:tcPr>
          <w:p w14:paraId="5ABD5A42" w14:textId="77777777" w:rsidR="00865420" w:rsidRPr="009620E0" w:rsidRDefault="00865420" w:rsidP="00066D3C">
            <w:pPr>
              <w:rPr>
                <w:rFonts w:ascii="Arial" w:hAnsi="Arial" w:cs="Arial"/>
                <w:b/>
                <w:bCs/>
                <w:kern w:val="2"/>
                <w:sz w:val="20"/>
                <w:szCs w:val="20"/>
                <w14:ligatures w14:val="standardContextual"/>
              </w:rPr>
            </w:pPr>
            <w:r w:rsidRPr="009620E0">
              <w:rPr>
                <w:rFonts w:ascii="Arial" w:hAnsi="Arial" w:cs="Arial"/>
                <w:b/>
                <w:bCs/>
                <w:kern w:val="2"/>
                <w:sz w:val="20"/>
                <w:szCs w:val="20"/>
                <w14:ligatures w14:val="standardContextual"/>
              </w:rPr>
              <w:t>Tổng số</w:t>
            </w:r>
          </w:p>
        </w:tc>
        <w:tc>
          <w:tcPr>
            <w:tcW w:w="1630" w:type="dxa"/>
            <w:tcBorders>
              <w:top w:val="single" w:sz="4" w:space="0" w:color="auto"/>
              <w:left w:val="nil"/>
              <w:bottom w:val="nil"/>
              <w:right w:val="nil"/>
            </w:tcBorders>
            <w:vAlign w:val="center"/>
            <w:hideMark/>
          </w:tcPr>
          <w:p w14:paraId="2D3C7F41" w14:textId="77777777" w:rsidR="00865420" w:rsidRPr="009620E0" w:rsidRDefault="00865420" w:rsidP="00066D3C">
            <w:pPr>
              <w:ind w:right="339"/>
              <w:jc w:val="right"/>
              <w:rPr>
                <w:rFonts w:ascii="Arial" w:hAnsi="Arial" w:cs="Arial"/>
                <w:b/>
                <w:bCs/>
                <w:kern w:val="2"/>
                <w:sz w:val="20"/>
                <w:szCs w:val="20"/>
                <w14:ligatures w14:val="standardContextual"/>
              </w:rPr>
            </w:pPr>
            <w:r w:rsidRPr="009620E0">
              <w:rPr>
                <w:rFonts w:ascii="Arial" w:hAnsi="Arial" w:cs="Arial"/>
                <w:b/>
                <w:bCs/>
                <w:kern w:val="2"/>
                <w:sz w:val="20"/>
                <w:szCs w:val="20"/>
                <w14:ligatures w14:val="standardContextual"/>
              </w:rPr>
              <w:t>509,7</w:t>
            </w:r>
          </w:p>
        </w:tc>
        <w:tc>
          <w:tcPr>
            <w:tcW w:w="1630" w:type="dxa"/>
            <w:tcBorders>
              <w:top w:val="single" w:sz="4" w:space="0" w:color="auto"/>
              <w:left w:val="nil"/>
              <w:bottom w:val="nil"/>
              <w:right w:val="nil"/>
            </w:tcBorders>
            <w:vAlign w:val="center"/>
            <w:hideMark/>
          </w:tcPr>
          <w:p w14:paraId="04EA9BF6" w14:textId="77777777" w:rsidR="00865420" w:rsidRPr="009620E0" w:rsidRDefault="00865420" w:rsidP="00066D3C">
            <w:pPr>
              <w:ind w:right="339"/>
              <w:jc w:val="right"/>
              <w:rPr>
                <w:rFonts w:ascii="Arial" w:hAnsi="Arial" w:cs="Arial"/>
                <w:b/>
                <w:bCs/>
                <w:kern w:val="2"/>
                <w:sz w:val="20"/>
                <w:szCs w:val="20"/>
                <w14:ligatures w14:val="standardContextual"/>
              </w:rPr>
            </w:pPr>
            <w:r w:rsidRPr="009620E0">
              <w:rPr>
                <w:rFonts w:ascii="Arial" w:hAnsi="Arial" w:cs="Arial"/>
                <w:b/>
                <w:bCs/>
                <w:kern w:val="2"/>
                <w:sz w:val="20"/>
                <w:szCs w:val="20"/>
                <w14:ligatures w14:val="standardContextual"/>
              </w:rPr>
              <w:t>1.031,5</w:t>
            </w:r>
          </w:p>
        </w:tc>
        <w:tc>
          <w:tcPr>
            <w:tcW w:w="1631" w:type="dxa"/>
            <w:tcBorders>
              <w:top w:val="single" w:sz="4" w:space="0" w:color="auto"/>
              <w:left w:val="nil"/>
              <w:bottom w:val="nil"/>
              <w:right w:val="nil"/>
            </w:tcBorders>
            <w:vAlign w:val="center"/>
            <w:hideMark/>
          </w:tcPr>
          <w:p w14:paraId="376DDA73" w14:textId="77777777" w:rsidR="00865420" w:rsidRPr="009620E0" w:rsidRDefault="00865420" w:rsidP="00066D3C">
            <w:pPr>
              <w:ind w:right="563"/>
              <w:jc w:val="right"/>
              <w:rPr>
                <w:rFonts w:ascii="Arial" w:hAnsi="Arial" w:cs="Arial"/>
                <w:b/>
                <w:bCs/>
                <w:kern w:val="2"/>
                <w:sz w:val="20"/>
                <w:szCs w:val="20"/>
                <w14:ligatures w14:val="standardContextual"/>
              </w:rPr>
            </w:pPr>
            <w:r w:rsidRPr="009620E0">
              <w:rPr>
                <w:rFonts w:ascii="Arial" w:hAnsi="Arial" w:cs="Arial"/>
                <w:b/>
                <w:bCs/>
                <w:kern w:val="2"/>
                <w:sz w:val="20"/>
                <w:szCs w:val="20"/>
                <w14:ligatures w14:val="standardContextual"/>
              </w:rPr>
              <w:t xml:space="preserve">      8,5 </w:t>
            </w:r>
          </w:p>
        </w:tc>
        <w:tc>
          <w:tcPr>
            <w:tcW w:w="1485" w:type="dxa"/>
            <w:tcBorders>
              <w:top w:val="single" w:sz="4" w:space="0" w:color="auto"/>
              <w:left w:val="nil"/>
              <w:bottom w:val="nil"/>
              <w:right w:val="nil"/>
            </w:tcBorders>
            <w:vAlign w:val="center"/>
            <w:hideMark/>
          </w:tcPr>
          <w:p w14:paraId="0C623C75" w14:textId="77777777" w:rsidR="00865420" w:rsidRPr="009620E0" w:rsidRDefault="00865420" w:rsidP="00066D3C">
            <w:pPr>
              <w:ind w:right="554"/>
              <w:jc w:val="right"/>
              <w:rPr>
                <w:rFonts w:ascii="Arial" w:hAnsi="Arial" w:cs="Arial"/>
                <w:b/>
                <w:bCs/>
                <w:kern w:val="2"/>
                <w:sz w:val="20"/>
                <w:szCs w:val="20"/>
                <w14:ligatures w14:val="standardContextual"/>
              </w:rPr>
            </w:pPr>
            <w:r w:rsidRPr="009620E0">
              <w:rPr>
                <w:rFonts w:ascii="Arial" w:hAnsi="Arial" w:cs="Arial"/>
                <w:b/>
                <w:bCs/>
                <w:kern w:val="2"/>
                <w:sz w:val="20"/>
                <w:szCs w:val="20"/>
                <w14:ligatures w14:val="standardContextual"/>
              </w:rPr>
              <w:t xml:space="preserve">      8,1</w:t>
            </w:r>
          </w:p>
        </w:tc>
      </w:tr>
      <w:tr w:rsidR="009620E0" w:rsidRPr="009620E0" w14:paraId="224C39C5" w14:textId="77777777" w:rsidTr="00066D3C">
        <w:trPr>
          <w:cantSplit/>
          <w:trHeight w:val="297"/>
          <w:jc w:val="center"/>
        </w:trPr>
        <w:tc>
          <w:tcPr>
            <w:tcW w:w="2672" w:type="dxa"/>
            <w:vAlign w:val="center"/>
            <w:hideMark/>
          </w:tcPr>
          <w:p w14:paraId="73C4CC38" w14:textId="77777777" w:rsidR="00865420" w:rsidRPr="009620E0" w:rsidRDefault="00865420" w:rsidP="00066D3C">
            <w:pPr>
              <w:ind w:firstLine="176"/>
              <w:rPr>
                <w:rFonts w:ascii="Arial" w:hAnsi="Arial" w:cs="Arial"/>
                <w:kern w:val="2"/>
                <w:sz w:val="20"/>
                <w:szCs w:val="20"/>
                <w14:ligatures w14:val="standardContextual"/>
              </w:rPr>
            </w:pPr>
            <w:r w:rsidRPr="009620E0">
              <w:rPr>
                <w:rFonts w:ascii="Arial" w:hAnsi="Arial" w:cs="Arial"/>
                <w:bCs/>
                <w:kern w:val="2"/>
                <w:sz w:val="20"/>
                <w:szCs w:val="20"/>
                <w14:ligatures w14:val="standardContextual"/>
              </w:rPr>
              <w:t>Bán lẻ hàng hóa</w:t>
            </w:r>
          </w:p>
        </w:tc>
        <w:tc>
          <w:tcPr>
            <w:tcW w:w="1630" w:type="dxa"/>
            <w:vAlign w:val="center"/>
            <w:hideMark/>
          </w:tcPr>
          <w:p w14:paraId="5FDB6379"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393,7</w:t>
            </w:r>
          </w:p>
        </w:tc>
        <w:tc>
          <w:tcPr>
            <w:tcW w:w="1630" w:type="dxa"/>
            <w:vAlign w:val="center"/>
            <w:hideMark/>
          </w:tcPr>
          <w:p w14:paraId="7E83FEC8"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798,3</w:t>
            </w:r>
          </w:p>
        </w:tc>
        <w:tc>
          <w:tcPr>
            <w:tcW w:w="1631" w:type="dxa"/>
            <w:vAlign w:val="center"/>
            <w:hideMark/>
          </w:tcPr>
          <w:p w14:paraId="28D23917" w14:textId="77777777" w:rsidR="00865420" w:rsidRPr="009620E0" w:rsidRDefault="00865420" w:rsidP="00066D3C">
            <w:pPr>
              <w:ind w:right="563"/>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7,0 </w:t>
            </w:r>
          </w:p>
        </w:tc>
        <w:tc>
          <w:tcPr>
            <w:tcW w:w="1485" w:type="dxa"/>
            <w:vAlign w:val="center"/>
            <w:hideMark/>
          </w:tcPr>
          <w:p w14:paraId="23E4F9B4" w14:textId="77777777" w:rsidR="00865420" w:rsidRPr="009620E0" w:rsidRDefault="00865420" w:rsidP="00066D3C">
            <w:pPr>
              <w:ind w:right="554"/>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6,8 </w:t>
            </w:r>
          </w:p>
        </w:tc>
      </w:tr>
      <w:tr w:rsidR="009620E0" w:rsidRPr="009620E0" w14:paraId="2E3E923D" w14:textId="77777777" w:rsidTr="00066D3C">
        <w:trPr>
          <w:cantSplit/>
          <w:trHeight w:val="320"/>
          <w:jc w:val="center"/>
        </w:trPr>
        <w:tc>
          <w:tcPr>
            <w:tcW w:w="2672" w:type="dxa"/>
            <w:vAlign w:val="center"/>
            <w:hideMark/>
          </w:tcPr>
          <w:p w14:paraId="61510A10" w14:textId="77777777" w:rsidR="00865420" w:rsidRPr="009620E0" w:rsidRDefault="00865420" w:rsidP="00066D3C">
            <w:pPr>
              <w:ind w:firstLine="176"/>
              <w:rPr>
                <w:rFonts w:ascii="Arial" w:hAnsi="Arial" w:cs="Arial"/>
                <w:kern w:val="2"/>
                <w:sz w:val="20"/>
                <w:szCs w:val="20"/>
                <w14:ligatures w14:val="standardContextual"/>
              </w:rPr>
            </w:pPr>
            <w:r w:rsidRPr="009620E0">
              <w:rPr>
                <w:rFonts w:ascii="Arial" w:hAnsi="Arial" w:cs="Arial"/>
                <w:bCs/>
                <w:kern w:val="2"/>
                <w:sz w:val="20"/>
                <w:szCs w:val="20"/>
                <w14:ligatures w14:val="standardContextual"/>
              </w:rPr>
              <w:t>Dịch vụ lưu trú, ăn uống</w:t>
            </w:r>
          </w:p>
        </w:tc>
        <w:tc>
          <w:tcPr>
            <w:tcW w:w="1630" w:type="dxa"/>
            <w:vAlign w:val="center"/>
            <w:hideMark/>
          </w:tcPr>
          <w:p w14:paraId="7CFBFD4C"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59,7</w:t>
            </w:r>
          </w:p>
        </w:tc>
        <w:tc>
          <w:tcPr>
            <w:tcW w:w="1630" w:type="dxa"/>
            <w:vAlign w:val="center"/>
            <w:hideMark/>
          </w:tcPr>
          <w:p w14:paraId="6A31459E"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118,3</w:t>
            </w:r>
          </w:p>
        </w:tc>
        <w:tc>
          <w:tcPr>
            <w:tcW w:w="1631" w:type="dxa"/>
            <w:vAlign w:val="center"/>
            <w:hideMark/>
          </w:tcPr>
          <w:p w14:paraId="7F48A5B9" w14:textId="77777777" w:rsidR="00865420" w:rsidRPr="009620E0" w:rsidRDefault="00865420" w:rsidP="00066D3C">
            <w:pPr>
              <w:ind w:right="563"/>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18,4 </w:t>
            </w:r>
          </w:p>
        </w:tc>
        <w:tc>
          <w:tcPr>
            <w:tcW w:w="1485" w:type="dxa"/>
            <w:vAlign w:val="center"/>
            <w:hideMark/>
          </w:tcPr>
          <w:p w14:paraId="210A968E" w14:textId="77777777" w:rsidR="00865420" w:rsidRPr="009620E0" w:rsidRDefault="00865420" w:rsidP="00066D3C">
            <w:pPr>
              <w:ind w:right="554"/>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14,0 </w:t>
            </w:r>
          </w:p>
        </w:tc>
      </w:tr>
      <w:tr w:rsidR="009620E0" w:rsidRPr="009620E0" w14:paraId="22D60EB5" w14:textId="77777777" w:rsidTr="00066D3C">
        <w:trPr>
          <w:cantSplit/>
          <w:trHeight w:val="307"/>
          <w:jc w:val="center"/>
        </w:trPr>
        <w:tc>
          <w:tcPr>
            <w:tcW w:w="2672" w:type="dxa"/>
            <w:vAlign w:val="center"/>
            <w:hideMark/>
          </w:tcPr>
          <w:p w14:paraId="317D0108" w14:textId="77777777" w:rsidR="00865420" w:rsidRPr="009620E0" w:rsidRDefault="00865420" w:rsidP="00066D3C">
            <w:pPr>
              <w:ind w:firstLine="176"/>
              <w:rPr>
                <w:rFonts w:ascii="Arial" w:hAnsi="Arial" w:cs="Arial"/>
                <w:kern w:val="2"/>
                <w:sz w:val="20"/>
                <w:szCs w:val="20"/>
                <w14:ligatures w14:val="standardContextual"/>
              </w:rPr>
            </w:pPr>
            <w:r w:rsidRPr="009620E0">
              <w:rPr>
                <w:rFonts w:ascii="Arial" w:hAnsi="Arial" w:cs="Arial"/>
                <w:bCs/>
                <w:kern w:val="2"/>
                <w:sz w:val="20"/>
                <w:szCs w:val="20"/>
                <w14:ligatures w14:val="standardContextual"/>
              </w:rPr>
              <w:t>Du lịch lữ hành</w:t>
            </w:r>
          </w:p>
        </w:tc>
        <w:tc>
          <w:tcPr>
            <w:tcW w:w="1630" w:type="dxa"/>
            <w:vAlign w:val="center"/>
            <w:hideMark/>
          </w:tcPr>
          <w:p w14:paraId="239D65B4"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4,6</w:t>
            </w:r>
          </w:p>
        </w:tc>
        <w:tc>
          <w:tcPr>
            <w:tcW w:w="1630" w:type="dxa"/>
            <w:vAlign w:val="center"/>
            <w:hideMark/>
          </w:tcPr>
          <w:p w14:paraId="68535D0A"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9,0</w:t>
            </w:r>
          </w:p>
        </w:tc>
        <w:tc>
          <w:tcPr>
            <w:tcW w:w="1631" w:type="dxa"/>
            <w:vAlign w:val="center"/>
            <w:hideMark/>
          </w:tcPr>
          <w:p w14:paraId="612540BE" w14:textId="77777777" w:rsidR="00865420" w:rsidRPr="009620E0" w:rsidRDefault="00865420" w:rsidP="00066D3C">
            <w:pPr>
              <w:ind w:right="563"/>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60,0 </w:t>
            </w:r>
          </w:p>
        </w:tc>
        <w:tc>
          <w:tcPr>
            <w:tcW w:w="1485" w:type="dxa"/>
            <w:vAlign w:val="center"/>
            <w:hideMark/>
          </w:tcPr>
          <w:p w14:paraId="6D319961" w14:textId="77777777" w:rsidR="00865420" w:rsidRPr="009620E0" w:rsidRDefault="00865420" w:rsidP="00066D3C">
            <w:pPr>
              <w:ind w:right="554"/>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35,8 </w:t>
            </w:r>
          </w:p>
        </w:tc>
      </w:tr>
      <w:tr w:rsidR="009620E0" w:rsidRPr="009620E0" w14:paraId="398D73C0" w14:textId="77777777" w:rsidTr="00066D3C">
        <w:trPr>
          <w:cantSplit/>
          <w:trHeight w:val="252"/>
          <w:jc w:val="center"/>
        </w:trPr>
        <w:tc>
          <w:tcPr>
            <w:tcW w:w="2672" w:type="dxa"/>
            <w:tcBorders>
              <w:top w:val="nil"/>
              <w:left w:val="nil"/>
              <w:bottom w:val="single" w:sz="8" w:space="0" w:color="auto"/>
              <w:right w:val="nil"/>
            </w:tcBorders>
            <w:vAlign w:val="center"/>
            <w:hideMark/>
          </w:tcPr>
          <w:p w14:paraId="08FF01F6" w14:textId="77777777" w:rsidR="00865420" w:rsidRPr="009620E0" w:rsidRDefault="00865420" w:rsidP="00066D3C">
            <w:pPr>
              <w:ind w:firstLine="176"/>
              <w:rPr>
                <w:rFonts w:ascii="Arial" w:hAnsi="Arial" w:cs="Arial"/>
                <w:kern w:val="2"/>
                <w:sz w:val="20"/>
                <w:szCs w:val="20"/>
                <w14:ligatures w14:val="standardContextual"/>
              </w:rPr>
            </w:pPr>
            <w:r w:rsidRPr="009620E0">
              <w:rPr>
                <w:rFonts w:ascii="Arial" w:hAnsi="Arial" w:cs="Arial"/>
                <w:bCs/>
                <w:kern w:val="2"/>
                <w:sz w:val="20"/>
                <w:szCs w:val="20"/>
                <w14:ligatures w14:val="standardContextual"/>
              </w:rPr>
              <w:t>Dịch vụ khác</w:t>
            </w:r>
          </w:p>
        </w:tc>
        <w:tc>
          <w:tcPr>
            <w:tcW w:w="1630" w:type="dxa"/>
            <w:tcBorders>
              <w:top w:val="nil"/>
              <w:left w:val="nil"/>
              <w:bottom w:val="single" w:sz="4" w:space="0" w:color="auto"/>
              <w:right w:val="nil"/>
            </w:tcBorders>
            <w:vAlign w:val="center"/>
            <w:hideMark/>
          </w:tcPr>
          <w:p w14:paraId="39FAE36E"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51,7</w:t>
            </w:r>
          </w:p>
        </w:tc>
        <w:tc>
          <w:tcPr>
            <w:tcW w:w="1630" w:type="dxa"/>
            <w:tcBorders>
              <w:top w:val="nil"/>
              <w:left w:val="nil"/>
              <w:bottom w:val="single" w:sz="4" w:space="0" w:color="auto"/>
              <w:right w:val="nil"/>
            </w:tcBorders>
            <w:vAlign w:val="center"/>
            <w:hideMark/>
          </w:tcPr>
          <w:p w14:paraId="68F3BB1D" w14:textId="77777777" w:rsidR="00865420" w:rsidRPr="009620E0" w:rsidRDefault="00865420" w:rsidP="00066D3C">
            <w:pPr>
              <w:ind w:right="339"/>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105,9</w:t>
            </w:r>
          </w:p>
        </w:tc>
        <w:tc>
          <w:tcPr>
            <w:tcW w:w="1631" w:type="dxa"/>
            <w:tcBorders>
              <w:top w:val="nil"/>
              <w:left w:val="nil"/>
              <w:bottom w:val="single" w:sz="4" w:space="0" w:color="auto"/>
              <w:right w:val="nil"/>
            </w:tcBorders>
            <w:vAlign w:val="center"/>
            <w:hideMark/>
          </w:tcPr>
          <w:p w14:paraId="695E44AA" w14:textId="77777777" w:rsidR="00865420" w:rsidRPr="009620E0" w:rsidRDefault="00865420" w:rsidP="00066D3C">
            <w:pPr>
              <w:ind w:right="563"/>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6,3 </w:t>
            </w:r>
          </w:p>
        </w:tc>
        <w:tc>
          <w:tcPr>
            <w:tcW w:w="1485" w:type="dxa"/>
            <w:tcBorders>
              <w:top w:val="nil"/>
              <w:left w:val="nil"/>
              <w:bottom w:val="single" w:sz="4" w:space="0" w:color="auto"/>
              <w:right w:val="nil"/>
            </w:tcBorders>
            <w:vAlign w:val="center"/>
            <w:hideMark/>
          </w:tcPr>
          <w:p w14:paraId="607D14A2" w14:textId="77777777" w:rsidR="00865420" w:rsidRPr="009620E0" w:rsidRDefault="00865420" w:rsidP="00066D3C">
            <w:pPr>
              <w:ind w:right="554"/>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9,7 </w:t>
            </w:r>
          </w:p>
        </w:tc>
      </w:tr>
    </w:tbl>
    <w:p w14:paraId="029E71FB" w14:textId="5BCCABE9" w:rsidR="00865420" w:rsidRPr="009620E0" w:rsidRDefault="00865420" w:rsidP="00066D3C">
      <w:pPr>
        <w:spacing w:before="120" w:after="60" w:line="252" w:lineRule="auto"/>
        <w:ind w:firstLine="567"/>
        <w:jc w:val="both"/>
        <w:rPr>
          <w:rFonts w:ascii="Arial" w:hAnsi="Arial" w:cs="Arial"/>
          <w:b/>
          <w:bCs/>
          <w:sz w:val="24"/>
          <w:szCs w:val="24"/>
          <w:lang w:val="it-IT"/>
        </w:rPr>
      </w:pPr>
      <w:r w:rsidRPr="009620E0">
        <w:rPr>
          <w:bCs/>
          <w:spacing w:val="-2"/>
          <w:lang w:val="it-IT"/>
        </w:rPr>
        <w:t xml:space="preserve">Tính chung </w:t>
      </w:r>
      <w:r w:rsidR="00E110EA" w:rsidRPr="009620E0">
        <w:rPr>
          <w:bCs/>
          <w:spacing w:val="-2"/>
          <w:lang w:val="it-IT"/>
        </w:rPr>
        <w:t>2</w:t>
      </w:r>
      <w:r w:rsidRPr="009620E0">
        <w:rPr>
          <w:bCs/>
          <w:spacing w:val="-2"/>
          <w:lang w:val="it-IT"/>
        </w:rPr>
        <w:t xml:space="preserve"> tháng đầu năm 2024, tổng mức bán lẻ hàng hóa và doanh thu dịch vụ tiêu dùng theo giá hiện hành ước đạt 1.031,5 nghìn tỷ đồng, tăng 8,1% so với cùng kỳ năm trước (cùng kỳ năm 2023 tăng 14,7%), nếu loại trừ yếu tố giá tăng </w:t>
      </w:r>
      <w:r w:rsidRPr="009620E0">
        <w:rPr>
          <w:rStyle w:val="normalchar"/>
          <w:rFonts w:eastAsia="Calibri"/>
          <w:spacing w:val="-2"/>
          <w:lang w:val="nl-NL"/>
        </w:rPr>
        <w:t xml:space="preserve">5,0% </w:t>
      </w:r>
      <w:r w:rsidRPr="009620E0">
        <w:rPr>
          <w:spacing w:val="-2"/>
          <w:lang w:val="nl-NL"/>
        </w:rPr>
        <w:t>(cùng kỳ năm 2023 tăng 10,9%).</w:t>
      </w:r>
    </w:p>
    <w:p w14:paraId="13876CDF" w14:textId="49EB46A0" w:rsidR="00865420" w:rsidRPr="009620E0" w:rsidRDefault="00865420" w:rsidP="00865420">
      <w:pPr>
        <w:spacing w:before="120" w:after="60" w:line="288" w:lineRule="auto"/>
        <w:jc w:val="center"/>
        <w:rPr>
          <w:rFonts w:ascii="Arial" w:hAnsi="Arial" w:cs="Arial"/>
          <w:b/>
          <w:bCs/>
          <w:sz w:val="24"/>
          <w:szCs w:val="24"/>
          <w:lang w:val="it-IT"/>
        </w:rPr>
      </w:pPr>
      <w:r w:rsidRPr="009620E0">
        <w:rPr>
          <w:rFonts w:ascii="Arial" w:hAnsi="Arial" w:cs="Arial"/>
          <w:b/>
          <w:bCs/>
          <w:sz w:val="24"/>
          <w:szCs w:val="24"/>
          <w:lang w:val="it-IT"/>
        </w:rPr>
        <w:t xml:space="preserve">Hình 11. Tổng mức bán lẻ hàng hóa và doanh thu dịch vụ tiêu dùng </w:t>
      </w:r>
      <w:r w:rsidRPr="009620E0">
        <w:rPr>
          <w:rFonts w:ascii="Arial" w:hAnsi="Arial" w:cs="Arial"/>
          <w:b/>
          <w:bCs/>
          <w:sz w:val="24"/>
          <w:szCs w:val="24"/>
          <w:lang w:val="it-IT"/>
        </w:rPr>
        <w:br/>
        <w:t xml:space="preserve">theo giá hiện hành </w:t>
      </w:r>
      <w:r w:rsidR="00E110EA" w:rsidRPr="009620E0">
        <w:rPr>
          <w:rFonts w:ascii="Arial" w:hAnsi="Arial" w:cs="Arial"/>
          <w:b/>
          <w:bCs/>
          <w:sz w:val="24"/>
          <w:szCs w:val="24"/>
          <w:lang w:val="it-IT"/>
        </w:rPr>
        <w:t>2</w:t>
      </w:r>
      <w:r w:rsidRPr="009620E0">
        <w:rPr>
          <w:rFonts w:ascii="Arial" w:hAnsi="Arial" w:cs="Arial"/>
          <w:b/>
          <w:bCs/>
          <w:sz w:val="24"/>
          <w:szCs w:val="24"/>
          <w:lang w:val="it-IT"/>
        </w:rPr>
        <w:t xml:space="preserve"> tháng đầu năm các năm 2020-2024</w:t>
      </w:r>
    </w:p>
    <w:p w14:paraId="4D6873D1" w14:textId="09918AE5" w:rsidR="00865420" w:rsidRPr="009620E0" w:rsidRDefault="00865420" w:rsidP="00865420">
      <w:pPr>
        <w:pStyle w:val="ListParagraph"/>
        <w:spacing w:after="120" w:line="264" w:lineRule="auto"/>
        <w:ind w:left="0" w:firstLine="567"/>
        <w:jc w:val="both"/>
        <w:rPr>
          <w:rFonts w:asciiTheme="minorHAnsi" w:hAnsiTheme="minorHAnsi" w:cstheme="minorBidi"/>
          <w:bCs/>
          <w:i/>
          <w:sz w:val="22"/>
          <w:szCs w:val="22"/>
          <w:lang w:val="nl-NL"/>
        </w:rPr>
      </w:pPr>
      <w:r w:rsidRPr="009620E0">
        <w:rPr>
          <w:noProof/>
        </w:rPr>
        <w:drawing>
          <wp:inline distT="0" distB="0" distL="0" distR="0" wp14:anchorId="410274EB" wp14:editId="68C2A80D">
            <wp:extent cx="5316855" cy="2182091"/>
            <wp:effectExtent l="0" t="0" r="17145" b="8890"/>
            <wp:docPr id="1416337724" name="Chart 14163377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2FEA60" w14:textId="3BB1E35D" w:rsidR="00865420" w:rsidRPr="009620E0" w:rsidRDefault="00865420" w:rsidP="009620E0">
      <w:pPr>
        <w:pStyle w:val="ListParagraph"/>
        <w:spacing w:after="120" w:line="288" w:lineRule="auto"/>
        <w:ind w:left="0" w:firstLine="567"/>
        <w:contextualSpacing w:val="0"/>
        <w:jc w:val="both"/>
        <w:rPr>
          <w:rFonts w:eastAsia="Times New Roman"/>
          <w:bCs/>
          <w:lang w:val="it-IT"/>
        </w:rPr>
      </w:pPr>
      <w:r w:rsidRPr="009620E0">
        <w:rPr>
          <w:rFonts w:eastAsia="Times New Roman"/>
          <w:bCs/>
          <w:i/>
          <w:iCs/>
          <w:lang w:val="it-IT"/>
        </w:rPr>
        <w:lastRenderedPageBreak/>
        <w:t>Doanh thu bán lẻ hàng hóa</w:t>
      </w:r>
      <w:r w:rsidRPr="009620E0">
        <w:rPr>
          <w:rFonts w:eastAsia="Times New Roman"/>
          <w:bCs/>
          <w:lang w:val="it-IT"/>
        </w:rPr>
        <w:t xml:space="preserve"> </w:t>
      </w:r>
      <w:r w:rsidR="00E110EA" w:rsidRPr="009620E0">
        <w:rPr>
          <w:rFonts w:eastAsia="Times New Roman"/>
          <w:bCs/>
          <w:lang w:val="it-IT"/>
        </w:rPr>
        <w:t>2</w:t>
      </w:r>
      <w:r w:rsidRPr="009620E0">
        <w:rPr>
          <w:rFonts w:eastAsia="Times New Roman"/>
          <w:bCs/>
          <w:lang w:val="it-IT"/>
        </w:rPr>
        <w:t xml:space="preserve"> tháng đầu năm 2024 ước đạt 798,3 nghìn tỷ đồng, chiếm 77,4% tổng mức và tăng 6,8% so với cùng kỳ năm trước (loại trừ yếu tố giá tăng 4,5%). Trong đó, nhóm hàng lương thực, thực phẩm tăng 10,8%; đồ dùng, dụng cụ, trang thiết bị gia đình tăng 18,1%; may mặc tăng 9,8%; phương tiện đi lại (trừ ô tô) tăng 1,8%; vật phẩm văn hoá, giáo dục tăng 16,5%. Doanh thu bán lẻ hàng hóa </w:t>
      </w:r>
      <w:r w:rsidR="00E110EA" w:rsidRPr="009620E0">
        <w:rPr>
          <w:rFonts w:eastAsia="Times New Roman"/>
          <w:bCs/>
          <w:lang w:val="it-IT"/>
        </w:rPr>
        <w:t>2</w:t>
      </w:r>
      <w:r w:rsidRPr="009620E0">
        <w:rPr>
          <w:rFonts w:eastAsia="Times New Roman"/>
          <w:bCs/>
          <w:lang w:val="it-IT"/>
        </w:rPr>
        <w:t xml:space="preserve"> tháng đầu năm 2024 so với cùng kỳ năm trước của một số địa phương </w:t>
      </w:r>
      <w:r w:rsidR="00F35B28" w:rsidRPr="009620E0">
        <w:rPr>
          <w:rFonts w:eastAsia="Times New Roman"/>
          <w:bCs/>
          <w:lang w:val="it-IT"/>
        </w:rPr>
        <w:t xml:space="preserve">có mức tăng khá </w:t>
      </w:r>
      <w:r w:rsidRPr="009620E0">
        <w:rPr>
          <w:rFonts w:eastAsia="Times New Roman"/>
          <w:bCs/>
          <w:lang w:val="it-IT"/>
        </w:rPr>
        <w:t>như: Quảng Ninh tăng 10%; Hải Phòng tăng 9,3%; Đà Nẵng và Đồng Nai cùng tăng 7,2%; Bình Dương tăng 6,2%; Thành phố Hồ Chí Minh tăng 5,9%.</w:t>
      </w:r>
    </w:p>
    <w:p w14:paraId="383F295C" w14:textId="4B578BF1" w:rsidR="00865420" w:rsidRPr="009620E0" w:rsidRDefault="00865420" w:rsidP="009620E0">
      <w:pPr>
        <w:pStyle w:val="ListParagraph"/>
        <w:spacing w:after="120" w:line="288" w:lineRule="auto"/>
        <w:ind w:left="0" w:firstLine="567"/>
        <w:contextualSpacing w:val="0"/>
        <w:jc w:val="both"/>
        <w:rPr>
          <w:rFonts w:eastAsiaTheme="minorHAnsi"/>
          <w:kern w:val="2"/>
          <w:lang w:val="nl-NL"/>
          <w14:ligatures w14:val="standardContextual"/>
        </w:rPr>
      </w:pPr>
      <w:r w:rsidRPr="009620E0">
        <w:rPr>
          <w:bCs/>
          <w:i/>
          <w:lang w:val="nl-NL"/>
        </w:rPr>
        <w:t xml:space="preserve">Doanh thu dịch vụ lưu trú, ăn uống </w:t>
      </w:r>
      <w:r w:rsidR="00E110EA" w:rsidRPr="009620E0">
        <w:rPr>
          <w:bCs/>
          <w:shd w:val="clear" w:color="auto" w:fill="FFFFFF"/>
          <w:lang w:val="nl-NL"/>
        </w:rPr>
        <w:t>2</w:t>
      </w:r>
      <w:r w:rsidRPr="009620E0">
        <w:rPr>
          <w:bCs/>
          <w:shd w:val="clear" w:color="auto" w:fill="FFFFFF"/>
          <w:lang w:val="nl-NL"/>
        </w:rPr>
        <w:t xml:space="preserve"> tháng đầu năm 2024 ước đạt 118,3 nghìn tỷ đồng, chiếm 11,5% tổng mức và tăng 14% so với cùng kỳ năm trước. Doanh thu </w:t>
      </w:r>
      <w:r w:rsidR="00E110EA" w:rsidRPr="009620E0">
        <w:rPr>
          <w:bCs/>
          <w:shd w:val="clear" w:color="auto" w:fill="FFFFFF"/>
          <w:lang w:val="nl-NL"/>
        </w:rPr>
        <w:t>2</w:t>
      </w:r>
      <w:r w:rsidRPr="009620E0">
        <w:rPr>
          <w:bCs/>
          <w:shd w:val="clear" w:color="auto" w:fill="FFFFFF"/>
          <w:lang w:val="nl-NL"/>
        </w:rPr>
        <w:t xml:space="preserve"> tháng đầu năm 2024 so với cùng kỳ năm trước của một số địa phương </w:t>
      </w:r>
      <w:r w:rsidR="00F35B28" w:rsidRPr="009620E0">
        <w:rPr>
          <w:bCs/>
          <w:shd w:val="clear" w:color="auto" w:fill="FFFFFF"/>
          <w:lang w:val="nl-NL"/>
        </w:rPr>
        <w:t xml:space="preserve">có tốc độ tăng cao </w:t>
      </w:r>
      <w:r w:rsidRPr="009620E0">
        <w:rPr>
          <w:bCs/>
          <w:shd w:val="clear" w:color="auto" w:fill="FFFFFF"/>
          <w:lang w:val="nl-NL"/>
        </w:rPr>
        <w:t xml:space="preserve">như: </w:t>
      </w:r>
      <w:r w:rsidRPr="009620E0">
        <w:rPr>
          <w:lang w:val="nl-NL"/>
        </w:rPr>
        <w:t xml:space="preserve">Ninh Bình tăng 35%; Kiên Giang tăng 24%; Đà Nẵng tăng 22,7%; Quảng Ninh tăng 20,8%; An Giang tăng 20,5%; </w:t>
      </w:r>
      <w:r w:rsidRPr="009620E0">
        <w:rPr>
          <w:rFonts w:eastAsia="Times New Roman"/>
          <w:bCs/>
          <w:lang w:val="it-IT"/>
        </w:rPr>
        <w:t xml:space="preserve">Thành phố Hồ Chí Minh </w:t>
      </w:r>
      <w:r w:rsidRPr="009620E0">
        <w:rPr>
          <w:lang w:val="nl-NL"/>
        </w:rPr>
        <w:t xml:space="preserve">tăng 18,6%; Hà Nội tăng 17,4%; Hà Nam tăng 13,4%; </w:t>
      </w:r>
      <w:r w:rsidR="00F35B28" w:rsidRPr="009620E0">
        <w:rPr>
          <w:lang w:val="nl-NL"/>
        </w:rPr>
        <w:t xml:space="preserve">Cần Thơ tăng 10,8%; </w:t>
      </w:r>
      <w:r w:rsidRPr="009620E0">
        <w:rPr>
          <w:lang w:val="nl-NL"/>
        </w:rPr>
        <w:t>Hải Phòng tăng 10,5%.</w:t>
      </w:r>
    </w:p>
    <w:p w14:paraId="6A228902" w14:textId="4B962850" w:rsidR="00865420" w:rsidRPr="009620E0" w:rsidRDefault="00865420" w:rsidP="009620E0">
      <w:pPr>
        <w:pStyle w:val="ListParagraph"/>
        <w:spacing w:after="120" w:line="288" w:lineRule="auto"/>
        <w:ind w:left="0" w:firstLine="567"/>
        <w:contextualSpacing w:val="0"/>
        <w:jc w:val="both"/>
        <w:rPr>
          <w:lang w:val="nl-NL"/>
        </w:rPr>
      </w:pPr>
      <w:r w:rsidRPr="009620E0">
        <w:rPr>
          <w:bCs/>
          <w:i/>
          <w:shd w:val="clear" w:color="auto" w:fill="FFFFFF"/>
          <w:lang w:val="nl-NL"/>
        </w:rPr>
        <w:t>Doanh thu du lịch lữ hành</w:t>
      </w:r>
      <w:r w:rsidR="00E110EA" w:rsidRPr="009620E0">
        <w:rPr>
          <w:bCs/>
          <w:shd w:val="clear" w:color="auto" w:fill="FFFFFF"/>
          <w:lang w:val="nl-NL"/>
        </w:rPr>
        <w:t xml:space="preserve"> 2</w:t>
      </w:r>
      <w:r w:rsidRPr="009620E0">
        <w:rPr>
          <w:bCs/>
          <w:shd w:val="clear" w:color="auto" w:fill="FFFFFF"/>
          <w:lang w:val="nl-NL"/>
        </w:rPr>
        <w:t xml:space="preserve"> tháng đầu năm 2024 ước đạt 9 nghìn tỷ đồng, chiếm 0,9% tổng mức và tăng 35,8% so với cùng kỳ năm trước. Doanh thu </w:t>
      </w:r>
      <w:r w:rsidR="00E110EA" w:rsidRPr="009620E0">
        <w:rPr>
          <w:bCs/>
          <w:shd w:val="clear" w:color="auto" w:fill="FFFFFF"/>
          <w:lang w:val="nl-NL"/>
        </w:rPr>
        <w:t>2</w:t>
      </w:r>
      <w:r w:rsidRPr="009620E0">
        <w:rPr>
          <w:bCs/>
          <w:shd w:val="clear" w:color="auto" w:fill="FFFFFF"/>
          <w:lang w:val="nl-NL"/>
        </w:rPr>
        <w:t xml:space="preserve"> tháng đầu năm 2024 của một số địa phương</w:t>
      </w:r>
      <w:r w:rsidR="00F35B28" w:rsidRPr="009620E0">
        <w:rPr>
          <w:bCs/>
          <w:shd w:val="clear" w:color="auto" w:fill="FFFFFF"/>
          <w:lang w:val="nl-NL"/>
        </w:rPr>
        <w:t xml:space="preserve"> tăng </w:t>
      </w:r>
      <w:r w:rsidRPr="009620E0">
        <w:rPr>
          <w:bCs/>
          <w:shd w:val="clear" w:color="auto" w:fill="FFFFFF"/>
          <w:lang w:val="nl-NL"/>
        </w:rPr>
        <w:t xml:space="preserve">so với cùng kỳ năm trước như sau: </w:t>
      </w:r>
      <w:r w:rsidRPr="009620E0">
        <w:rPr>
          <w:lang w:val="nl-NL"/>
        </w:rPr>
        <w:t xml:space="preserve">Hà Nam tăng 88%; Đà Nẵng tăng 86,3%; Hà Nội tăng 49,8%; </w:t>
      </w:r>
      <w:r w:rsidRPr="009620E0">
        <w:rPr>
          <w:rFonts w:eastAsia="Times New Roman"/>
          <w:bCs/>
          <w:lang w:val="it-IT"/>
        </w:rPr>
        <w:t xml:space="preserve">Thành phố Hồ Chí Minh </w:t>
      </w:r>
      <w:r w:rsidRPr="009620E0">
        <w:rPr>
          <w:lang w:val="nl-NL"/>
        </w:rPr>
        <w:t>tăng 23%; Quảng Ninh tăng 21,5%; Cần Thơ tăng 9%; Hải Phòng tăng 4%.</w:t>
      </w:r>
    </w:p>
    <w:p w14:paraId="49EF02B8" w14:textId="0B8C9F46" w:rsidR="00865420" w:rsidRPr="009620E0" w:rsidRDefault="00865420" w:rsidP="009620E0">
      <w:pPr>
        <w:tabs>
          <w:tab w:val="left" w:pos="900"/>
          <w:tab w:val="left" w:pos="9475"/>
        </w:tabs>
        <w:spacing w:after="120" w:line="288" w:lineRule="auto"/>
        <w:ind w:firstLine="567"/>
        <w:jc w:val="both"/>
        <w:rPr>
          <w:rStyle w:val="normalchar"/>
          <w:lang w:val="vi-VN"/>
        </w:rPr>
      </w:pPr>
      <w:r w:rsidRPr="009620E0">
        <w:rPr>
          <w:i/>
          <w:lang w:val="nl-NL"/>
        </w:rPr>
        <w:t>D</w:t>
      </w:r>
      <w:r w:rsidRPr="009620E0">
        <w:rPr>
          <w:bCs/>
          <w:i/>
          <w:lang w:val="nl-NL"/>
        </w:rPr>
        <w:t>oanh thu dịch vụ khác</w:t>
      </w:r>
      <w:r w:rsidRPr="009620E0">
        <w:rPr>
          <w:lang w:val="nl-NL"/>
        </w:rPr>
        <w:t xml:space="preserve"> </w:t>
      </w:r>
      <w:r w:rsidR="00E110EA" w:rsidRPr="009620E0">
        <w:rPr>
          <w:lang w:val="nl-NL"/>
        </w:rPr>
        <w:t>2</w:t>
      </w:r>
      <w:r w:rsidRPr="009620E0">
        <w:rPr>
          <w:lang w:val="nl-NL"/>
        </w:rPr>
        <w:t xml:space="preserve"> tháng đầu năm 2024 ước đạt 105,9 nghìn tỷ đồng, chiếm 10,2% tổng mức và tăng 9,7% so với cùng kỳ năm trước. Cụ thể mức tăng, giảm </w:t>
      </w:r>
      <w:r w:rsidR="00E110EA" w:rsidRPr="009620E0">
        <w:rPr>
          <w:lang w:val="nl-NL"/>
        </w:rPr>
        <w:t>2</w:t>
      </w:r>
      <w:r w:rsidRPr="009620E0">
        <w:rPr>
          <w:lang w:val="nl-NL"/>
        </w:rPr>
        <w:t xml:space="preserve"> tháng đầu năm 2024 so với cùng kỳ năm trước của một số địa phương như sau: </w:t>
      </w:r>
      <w:r w:rsidRPr="009620E0">
        <w:rPr>
          <w:bCs/>
          <w:lang w:val="it-IT"/>
        </w:rPr>
        <w:t xml:space="preserve">Thành phố </w:t>
      </w:r>
      <w:r w:rsidRPr="009620E0">
        <w:rPr>
          <w:rStyle w:val="normalchar"/>
          <w:lang w:val="vi-VN"/>
        </w:rPr>
        <w:t>Hồ Chí Minh tăng 19,6%; Hà Nam tăng 15,5%; Đồng Nai tăng 13,7%; Khánh Hòa tăng 10,4%; Hà Nội tăng 8,4%; Cần Thơ tăng 8,3%; Lâm Đồng tăng 5,9%; Hải Phòng tăng 1,9%; Cà Mau giảm 0,7%; Quảng Ninh giảm 2,9%; Phú Thọ giảm 6,8%.</w:t>
      </w:r>
    </w:p>
    <w:p w14:paraId="75820F17" w14:textId="77777777" w:rsidR="00A20988" w:rsidRPr="009620E0" w:rsidRDefault="00A20988" w:rsidP="009620E0">
      <w:pPr>
        <w:tabs>
          <w:tab w:val="left" w:pos="900"/>
          <w:tab w:val="left" w:pos="9475"/>
        </w:tabs>
        <w:spacing w:after="120" w:line="288" w:lineRule="auto"/>
        <w:ind w:firstLine="567"/>
        <w:jc w:val="both"/>
        <w:rPr>
          <w:rStyle w:val="Strong"/>
          <w:i/>
          <w:iCs/>
          <w:lang w:val="de-DE"/>
        </w:rPr>
      </w:pPr>
      <w:bookmarkStart w:id="0" w:name="_Hlk89176061"/>
      <w:bookmarkStart w:id="1" w:name="_Hlk54593811"/>
    </w:p>
    <w:p w14:paraId="562D9F41" w14:textId="77777777" w:rsidR="00A20988" w:rsidRPr="009620E0" w:rsidRDefault="00A20988" w:rsidP="00AE4B92">
      <w:pPr>
        <w:tabs>
          <w:tab w:val="left" w:pos="900"/>
          <w:tab w:val="left" w:pos="9475"/>
        </w:tabs>
        <w:spacing w:after="120" w:line="288" w:lineRule="auto"/>
        <w:ind w:right="119" w:firstLine="567"/>
        <w:jc w:val="both"/>
        <w:rPr>
          <w:rStyle w:val="Strong"/>
          <w:i/>
          <w:iCs/>
          <w:lang w:val="de-DE"/>
        </w:rPr>
      </w:pPr>
    </w:p>
    <w:p w14:paraId="4509104A" w14:textId="77777777" w:rsidR="00A20988" w:rsidRPr="009620E0" w:rsidRDefault="00A20988" w:rsidP="00AE4B92">
      <w:pPr>
        <w:tabs>
          <w:tab w:val="left" w:pos="900"/>
          <w:tab w:val="left" w:pos="9475"/>
        </w:tabs>
        <w:spacing w:after="120" w:line="288" w:lineRule="auto"/>
        <w:ind w:right="119" w:firstLine="567"/>
        <w:jc w:val="both"/>
        <w:rPr>
          <w:rStyle w:val="Strong"/>
          <w:i/>
          <w:iCs/>
          <w:lang w:val="de-DE"/>
        </w:rPr>
      </w:pPr>
    </w:p>
    <w:p w14:paraId="539F3F71" w14:textId="77777777" w:rsidR="00A20988" w:rsidRPr="009620E0" w:rsidRDefault="00A20988" w:rsidP="00AE4B92">
      <w:pPr>
        <w:tabs>
          <w:tab w:val="left" w:pos="900"/>
          <w:tab w:val="left" w:pos="9475"/>
        </w:tabs>
        <w:spacing w:after="120" w:line="288" w:lineRule="auto"/>
        <w:ind w:right="119" w:firstLine="567"/>
        <w:jc w:val="both"/>
        <w:rPr>
          <w:rStyle w:val="Strong"/>
          <w:i/>
          <w:iCs/>
          <w:lang w:val="de-DE"/>
        </w:rPr>
      </w:pPr>
    </w:p>
    <w:p w14:paraId="2543C280" w14:textId="07C2B4D0" w:rsidR="00AE4B92" w:rsidRPr="009620E0" w:rsidRDefault="00AE4B92" w:rsidP="00A20988">
      <w:pPr>
        <w:tabs>
          <w:tab w:val="left" w:pos="900"/>
          <w:tab w:val="left" w:pos="9475"/>
        </w:tabs>
        <w:spacing w:after="120" w:line="264" w:lineRule="auto"/>
        <w:ind w:right="119" w:firstLine="567"/>
        <w:jc w:val="both"/>
        <w:rPr>
          <w:rStyle w:val="Strong"/>
          <w:i/>
          <w:iCs/>
          <w:lang w:val="de-DE"/>
        </w:rPr>
      </w:pPr>
      <w:r w:rsidRPr="009620E0">
        <w:rPr>
          <w:rStyle w:val="Strong"/>
          <w:i/>
          <w:iCs/>
          <w:lang w:val="de-DE"/>
        </w:rPr>
        <w:lastRenderedPageBreak/>
        <w:t>b) Xuất, nhập khẩu hàng hóa</w:t>
      </w:r>
      <w:r w:rsidRPr="009620E0">
        <w:rPr>
          <w:b/>
          <w:bCs/>
          <w:i/>
          <w:iCs/>
          <w:vertAlign w:val="superscript"/>
          <w:lang w:val="de-DE"/>
        </w:rPr>
        <w:footnoteReference w:id="10"/>
      </w:r>
    </w:p>
    <w:p w14:paraId="33896D36" w14:textId="77777777" w:rsidR="00AE4B92" w:rsidRPr="009620E0" w:rsidRDefault="00AE4B92" w:rsidP="00A20988">
      <w:pPr>
        <w:tabs>
          <w:tab w:val="left" w:pos="900"/>
          <w:tab w:val="left" w:pos="9475"/>
        </w:tabs>
        <w:spacing w:before="40" w:after="40" w:line="264" w:lineRule="auto"/>
        <w:ind w:right="4" w:firstLine="567"/>
        <w:jc w:val="both"/>
        <w:rPr>
          <w:rFonts w:ascii="Times New Roman Italic" w:hAnsi="Times New Roman Italic"/>
          <w:i/>
          <w:lang w:val="es-NI"/>
        </w:rPr>
      </w:pPr>
      <w:r w:rsidRPr="009620E0">
        <w:rPr>
          <w:rFonts w:ascii="Times New Roman Italic" w:hAnsi="Times New Roman Italic"/>
          <w:i/>
          <w:lang w:val="de-DE"/>
        </w:rPr>
        <w:t xml:space="preserve">Trong </w:t>
      </w:r>
      <w:r w:rsidRPr="009620E0">
        <w:rPr>
          <w:rFonts w:ascii="Times New Roman Italic" w:hAnsi="Times New Roman Italic"/>
          <w:i/>
          <w:iCs/>
        </w:rPr>
        <w:t>tháng 02/2024</w:t>
      </w:r>
      <w:r w:rsidRPr="009620E0">
        <w:rPr>
          <w:rFonts w:ascii="Times New Roman Italic" w:hAnsi="Times New Roman Italic"/>
          <w:i/>
          <w:lang w:val="de-DE"/>
        </w:rPr>
        <w:t>, t</w:t>
      </w:r>
      <w:r w:rsidRPr="009620E0">
        <w:rPr>
          <w:rFonts w:ascii="Times New Roman Italic" w:hAnsi="Times New Roman Italic"/>
          <w:i/>
          <w:lang w:val="es-NI"/>
        </w:rPr>
        <w:t>ổng kim ngạch xuất, nhập khẩu hàng hóa</w:t>
      </w:r>
      <w:r w:rsidRPr="009620E0">
        <w:rPr>
          <w:rFonts w:ascii="Times New Roman Italic" w:hAnsi="Times New Roman Italic"/>
          <w:i/>
          <w:iCs/>
          <w:vertAlign w:val="superscript"/>
          <w:lang w:val="de-DE"/>
        </w:rPr>
        <w:footnoteReference w:id="11"/>
      </w:r>
      <w:r w:rsidRPr="009620E0">
        <w:rPr>
          <w:rFonts w:ascii="Times New Roman Italic" w:hAnsi="Times New Roman Italic"/>
          <w:i/>
          <w:lang w:val="es-NI"/>
        </w:rPr>
        <w:t xml:space="preserve"> ước</w:t>
      </w:r>
      <w:r w:rsidRPr="009620E0">
        <w:rPr>
          <w:rFonts w:ascii="Times New Roman Italic" w:hAnsi="Times New Roman Italic"/>
          <w:i/>
          <w:lang w:val="de-DE"/>
        </w:rPr>
        <w:t xml:space="preserve"> </w:t>
      </w:r>
      <w:r w:rsidRPr="009620E0">
        <w:rPr>
          <w:rFonts w:ascii="Times New Roman Italic" w:hAnsi="Times New Roman Italic"/>
          <w:i/>
          <w:iCs/>
        </w:rPr>
        <w:t>đạt 48,54 tỷ USD, giảm</w:t>
      </w:r>
      <w:r w:rsidRPr="009620E0">
        <w:rPr>
          <w:rFonts w:ascii="Times New Roman Italic" w:hAnsi="Times New Roman Italic"/>
          <w:i/>
          <w:lang w:val="es-NI"/>
        </w:rPr>
        <w:t xml:space="preserve"> 25,8% so với tháng trước và giảm 1,8% so với cùng kỳ năm trước</w:t>
      </w:r>
      <w:r w:rsidRPr="009620E0">
        <w:rPr>
          <w:rStyle w:val="FootnoteReference"/>
          <w:rFonts w:ascii="Times New Roman Italic" w:hAnsi="Times New Roman Italic"/>
          <w:i/>
          <w:lang w:val="es-NI"/>
        </w:rPr>
        <w:footnoteReference w:id="12"/>
      </w:r>
      <w:r w:rsidRPr="009620E0">
        <w:rPr>
          <w:rFonts w:ascii="Times New Roman Italic" w:hAnsi="Times New Roman Italic"/>
          <w:i/>
          <w:lang w:val="es-NI"/>
        </w:rPr>
        <w:t xml:space="preserve">. Tính chung 2 tháng đầu năm </w:t>
      </w:r>
      <w:r w:rsidRPr="009620E0">
        <w:rPr>
          <w:rFonts w:ascii="Times New Roman Italic" w:hAnsi="Times New Roman Italic"/>
          <w:i/>
        </w:rPr>
        <w:t>2024</w:t>
      </w:r>
      <w:r w:rsidRPr="009620E0">
        <w:rPr>
          <w:rFonts w:ascii="Times New Roman Italic" w:hAnsi="Times New Roman Italic"/>
          <w:i/>
          <w:lang w:val="es-NI"/>
        </w:rPr>
        <w:t>, tổng kim ngạch xuất, nhập khẩu hàng hóa ước đạt 113,96</w:t>
      </w:r>
      <w:r w:rsidRPr="009620E0">
        <w:rPr>
          <w:rFonts w:ascii="Times New Roman Italic" w:hAnsi="Times New Roman Italic"/>
          <w:i/>
        </w:rPr>
        <w:t xml:space="preserve"> tỷ USD, tăng 18,6% so với cùng kỳ năm </w:t>
      </w:r>
      <w:r w:rsidRPr="009620E0">
        <w:rPr>
          <w:rFonts w:ascii="Times New Roman Italic" w:hAnsi="Times New Roman Italic"/>
          <w:i/>
          <w:lang w:val="es-NI"/>
        </w:rPr>
        <w:t>trước</w:t>
      </w:r>
      <w:r w:rsidRPr="009620E0">
        <w:rPr>
          <w:rStyle w:val="FootnoteReference"/>
          <w:rFonts w:ascii="Times New Roman Italic" w:hAnsi="Times New Roman Italic"/>
          <w:i/>
          <w:lang w:val="es-NI"/>
        </w:rPr>
        <w:footnoteReference w:id="13"/>
      </w:r>
      <w:r w:rsidRPr="009620E0">
        <w:rPr>
          <w:rFonts w:ascii="Times New Roman Italic" w:hAnsi="Times New Roman Italic"/>
          <w:i/>
          <w:lang w:val="es-NI"/>
        </w:rPr>
        <w:t>, trong đó xuất khẩu tăng 19,2%; nhập khẩu tăng 18%. C</w:t>
      </w:r>
      <w:r w:rsidRPr="009620E0">
        <w:rPr>
          <w:rFonts w:ascii="Times New Roman Italic" w:hAnsi="Times New Roman Italic"/>
          <w:i/>
          <w:iCs/>
        </w:rPr>
        <w:t>án cân thương mại hàng hóa xuất siêu 4,72 tỷ USD.</w:t>
      </w:r>
    </w:p>
    <w:p w14:paraId="3A2F79BF" w14:textId="77777777" w:rsidR="00AE4B92" w:rsidRPr="009620E0" w:rsidRDefault="00AE4B92" w:rsidP="00AE4B92">
      <w:pPr>
        <w:tabs>
          <w:tab w:val="left" w:pos="900"/>
          <w:tab w:val="left" w:pos="9475"/>
        </w:tabs>
        <w:spacing w:before="40" w:after="40" w:line="264" w:lineRule="auto"/>
        <w:ind w:right="119"/>
        <w:jc w:val="center"/>
        <w:rPr>
          <w:rFonts w:ascii="Arial" w:hAnsi="Arial" w:cs="Arial"/>
          <w:b/>
          <w:bCs/>
          <w:sz w:val="2"/>
          <w:szCs w:val="24"/>
          <w:lang w:val="es-NI"/>
        </w:rPr>
      </w:pPr>
    </w:p>
    <w:p w14:paraId="4A5E7904" w14:textId="77777777" w:rsidR="00AE4B92" w:rsidRPr="009620E0" w:rsidRDefault="00AE4B92" w:rsidP="00AE4B92">
      <w:pPr>
        <w:tabs>
          <w:tab w:val="left" w:pos="900"/>
          <w:tab w:val="left" w:pos="9475"/>
        </w:tabs>
        <w:spacing w:before="40" w:after="120" w:line="264" w:lineRule="auto"/>
        <w:ind w:right="119"/>
        <w:jc w:val="center"/>
        <w:rPr>
          <w:rFonts w:ascii="Arial" w:hAnsi="Arial" w:cs="Arial"/>
          <w:b/>
          <w:bCs/>
          <w:sz w:val="24"/>
          <w:szCs w:val="24"/>
          <w:lang w:val="es-NI"/>
        </w:rPr>
      </w:pPr>
      <w:r w:rsidRPr="009620E0">
        <w:rPr>
          <w:rFonts w:ascii="Arial" w:hAnsi="Arial" w:cs="Arial"/>
          <w:b/>
          <w:bCs/>
          <w:sz w:val="24"/>
          <w:szCs w:val="24"/>
          <w:lang w:val="es-NI"/>
        </w:rPr>
        <w:t>Hình 12. Xuất, nhập khẩu hàng hóa 2 tháng đầu năm 2024</w:t>
      </w:r>
    </w:p>
    <w:p w14:paraId="2555661F" w14:textId="77777777" w:rsidR="00AE4B92" w:rsidRPr="009620E0" w:rsidRDefault="00AE4B92" w:rsidP="00AE4B92">
      <w:pPr>
        <w:tabs>
          <w:tab w:val="left" w:pos="900"/>
          <w:tab w:val="left" w:pos="9475"/>
        </w:tabs>
        <w:spacing w:before="40" w:after="40" w:line="264" w:lineRule="auto"/>
        <w:jc w:val="center"/>
        <w:rPr>
          <w:rFonts w:ascii="Arial" w:hAnsi="Arial" w:cs="Arial"/>
          <w:b/>
          <w:bCs/>
          <w:sz w:val="16"/>
          <w:szCs w:val="16"/>
          <w:lang w:val="es-NI"/>
        </w:rPr>
      </w:pPr>
      <w:r w:rsidRPr="009620E0">
        <w:rPr>
          <w:noProof/>
        </w:rPr>
        <w:drawing>
          <wp:inline distT="0" distB="0" distL="0" distR="0" wp14:anchorId="1B32063E" wp14:editId="69262F72">
            <wp:extent cx="5553710" cy="1700365"/>
            <wp:effectExtent l="0" t="0" r="0" b="0"/>
            <wp:docPr id="14073647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471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561368" cy="1702710"/>
                    </a:xfrm>
                    <a:prstGeom prst="rect">
                      <a:avLst/>
                    </a:prstGeom>
                  </pic:spPr>
                </pic:pic>
              </a:graphicData>
            </a:graphic>
          </wp:inline>
        </w:drawing>
      </w:r>
    </w:p>
    <w:p w14:paraId="583B7AAB" w14:textId="77777777" w:rsidR="00AE4B92" w:rsidRPr="009620E0" w:rsidRDefault="00AE4B92" w:rsidP="00AE4B92">
      <w:pPr>
        <w:tabs>
          <w:tab w:val="left" w:pos="900"/>
          <w:tab w:val="left" w:pos="9475"/>
        </w:tabs>
        <w:spacing w:before="40" w:after="40" w:line="264" w:lineRule="auto"/>
        <w:ind w:right="119" w:firstLine="567"/>
        <w:jc w:val="both"/>
        <w:rPr>
          <w:rStyle w:val="Strong"/>
          <w:i/>
          <w:iCs/>
          <w:sz w:val="2"/>
          <w:szCs w:val="4"/>
          <w:lang w:val="de-DE"/>
        </w:rPr>
      </w:pPr>
    </w:p>
    <w:p w14:paraId="7CDDCFEE" w14:textId="77777777" w:rsidR="00AE4B92" w:rsidRPr="009620E0" w:rsidRDefault="00AE4B92" w:rsidP="00A20988">
      <w:pPr>
        <w:spacing w:after="120" w:line="264" w:lineRule="auto"/>
        <w:ind w:firstLine="567"/>
        <w:rPr>
          <w:rStyle w:val="Strong"/>
          <w:i/>
          <w:iCs/>
          <w:lang w:val="de-DE"/>
        </w:rPr>
      </w:pPr>
      <w:r w:rsidRPr="009620E0">
        <w:rPr>
          <w:rStyle w:val="Strong"/>
          <w:i/>
          <w:iCs/>
          <w:lang w:val="de-DE"/>
        </w:rPr>
        <w:t>Xuất khẩu hàng hóa</w:t>
      </w:r>
    </w:p>
    <w:p w14:paraId="647EC72F" w14:textId="77777777" w:rsidR="00AE4B92" w:rsidRPr="009620E0" w:rsidRDefault="00AE4B92" w:rsidP="00A20988">
      <w:pPr>
        <w:tabs>
          <w:tab w:val="num" w:pos="0"/>
          <w:tab w:val="left" w:pos="9475"/>
        </w:tabs>
        <w:spacing w:after="120" w:line="264" w:lineRule="auto"/>
        <w:ind w:firstLine="567"/>
        <w:jc w:val="both"/>
        <w:rPr>
          <w:bCs/>
          <w:lang w:val="de-DE"/>
        </w:rPr>
      </w:pPr>
      <w:r w:rsidRPr="009620E0">
        <w:rPr>
          <w:bCs/>
          <w:lang w:val="de-DE"/>
        </w:rPr>
        <w:t>Kim ngạch xuất khẩu hàng hóa tháng 01/2024 sơ bộ đạt 34,52 tỷ USD, cao hơn 950 triệu USD so với số ước tính.</w:t>
      </w:r>
    </w:p>
    <w:p w14:paraId="6EAC3B4D" w14:textId="77777777" w:rsidR="00AE4B92" w:rsidRPr="009620E0" w:rsidRDefault="00AE4B92" w:rsidP="00A20988">
      <w:pPr>
        <w:tabs>
          <w:tab w:val="num" w:pos="0"/>
          <w:tab w:val="left" w:pos="9475"/>
        </w:tabs>
        <w:spacing w:after="120" w:line="264" w:lineRule="auto"/>
        <w:ind w:firstLine="567"/>
        <w:jc w:val="both"/>
        <w:rPr>
          <w:bCs/>
          <w:lang w:val="de-DE"/>
        </w:rPr>
      </w:pPr>
      <w:r w:rsidRPr="009620E0">
        <w:rPr>
          <w:bCs/>
          <w:lang w:val="de-DE"/>
        </w:rPr>
        <w:t xml:space="preserve">Kim ngạch xuất khẩu hàng hóa tháng 02/2024 ước đạt 24,82 tỷ USD, giảm 28,1% so với tháng trước. Trong đó, khu vực kinh tế trong nước đạt 6,62 tỷ USD, giảm 30,6%; khu vực có vốn đầu tư nước ngoài (kể cả dầu thô) đạt 18,2 tỷ USD, giảm 27,2%. So với cùng kỳ năm trước, kim ngạch xuất khẩu hàng hóa tháng Hai giảm 5%, trong đó khu vực kinh tế trong nước tăng 0,9%, khu vực có vốn đầu tư nước ngoài (kể cả dầu thô) giảm 7%. </w:t>
      </w:r>
    </w:p>
    <w:p w14:paraId="606BE205" w14:textId="77777777" w:rsidR="00AE4B92" w:rsidRPr="009620E0" w:rsidRDefault="00AE4B92" w:rsidP="00A20988">
      <w:pPr>
        <w:tabs>
          <w:tab w:val="num" w:pos="0"/>
          <w:tab w:val="left" w:pos="9475"/>
        </w:tabs>
        <w:spacing w:after="120" w:line="264" w:lineRule="auto"/>
        <w:ind w:firstLine="567"/>
        <w:jc w:val="both"/>
        <w:rPr>
          <w:iCs/>
          <w:lang w:val="de-DE"/>
        </w:rPr>
      </w:pPr>
      <w:r w:rsidRPr="009620E0">
        <w:rPr>
          <w:iCs/>
          <w:lang w:val="de-DE"/>
        </w:rPr>
        <w:t xml:space="preserve">Tính chung 2 tháng đầu năm 2024, kim ngạch xuất khẩu hàng hóa ước đạt 59,34 tỷ USD, tăng 19,2% so với cùng kỳ năm trước. Trong đó, khu vực kinh tế trong nước đạt 16,14 tỷ USD, tăng 33,3%, chiếm 27,2% tổng kim ngạch xuất khẩu; khu vực có vốn đầu tư nước ngoài (kể cả dầu thô) đạt 43,2 tỷ USD, tăng 14,7%, chiếm 72,8%. </w:t>
      </w:r>
    </w:p>
    <w:p w14:paraId="25CACD22" w14:textId="77777777" w:rsidR="00AE4B92" w:rsidRPr="009620E0" w:rsidRDefault="00AE4B92" w:rsidP="00A20988">
      <w:pPr>
        <w:tabs>
          <w:tab w:val="num" w:pos="0"/>
        </w:tabs>
        <w:spacing w:after="120" w:line="264" w:lineRule="auto"/>
        <w:ind w:firstLine="567"/>
        <w:jc w:val="both"/>
        <w:rPr>
          <w:b/>
          <w:bCs/>
          <w:spacing w:val="-4"/>
          <w:lang w:val="es-NI"/>
        </w:rPr>
      </w:pPr>
      <w:r w:rsidRPr="009620E0">
        <w:rPr>
          <w:spacing w:val="-4"/>
          <w:lang w:val="de-DE"/>
        </w:rPr>
        <w:lastRenderedPageBreak/>
        <w:t xml:space="preserve">Trong 2 tháng đầu năm 2024 có 11 mặt hàng đạt kim ngạch xuất khẩu trên 1 tỷ USD, chiếm 75,1% tổng kim ngạch xuất khẩu (có 04 mặt hàng xuất khẩu trên 5 tỷ USD, chiếm 52,5%). </w:t>
      </w:r>
    </w:p>
    <w:p w14:paraId="702C59BB" w14:textId="77777777" w:rsidR="00AE4B92" w:rsidRPr="009620E0" w:rsidRDefault="00AE4B92" w:rsidP="00AE4B92">
      <w:pPr>
        <w:tabs>
          <w:tab w:val="num" w:pos="0"/>
          <w:tab w:val="left" w:pos="9475"/>
        </w:tabs>
        <w:spacing w:before="240" w:after="240" w:line="264" w:lineRule="auto"/>
        <w:ind w:right="119"/>
        <w:jc w:val="center"/>
        <w:rPr>
          <w:rFonts w:ascii="Arial" w:hAnsi="Arial" w:cs="Arial"/>
          <w:b/>
          <w:bCs/>
          <w:sz w:val="24"/>
          <w:szCs w:val="24"/>
          <w:lang w:val="es-NI"/>
        </w:rPr>
      </w:pPr>
      <w:r w:rsidRPr="009620E0">
        <w:rPr>
          <w:rFonts w:ascii="Arial" w:hAnsi="Arial" w:cs="Arial"/>
          <w:b/>
          <w:spacing w:val="-2"/>
          <w:sz w:val="24"/>
          <w:szCs w:val="20"/>
          <w:lang w:val="pl-PL"/>
        </w:rPr>
        <w:t xml:space="preserve">Biểu 4. </w:t>
      </w:r>
      <w:r w:rsidRPr="009620E0">
        <w:rPr>
          <w:rFonts w:ascii="Arial" w:hAnsi="Arial" w:cs="Arial"/>
          <w:b/>
          <w:bCs/>
          <w:sz w:val="24"/>
          <w:szCs w:val="24"/>
          <w:lang w:val="es-NI"/>
        </w:rPr>
        <w:t>Trị giá một số mặt hàng xuất khẩu 2 tháng đầu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9620E0" w:rsidRPr="009620E0" w14:paraId="31EBCE9E" w14:textId="77777777" w:rsidTr="00AE4B92">
        <w:tc>
          <w:tcPr>
            <w:tcW w:w="4395" w:type="dxa"/>
          </w:tcPr>
          <w:p w14:paraId="707B469A"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lang w:val="es-NI"/>
              </w:rPr>
            </w:pPr>
          </w:p>
          <w:p w14:paraId="445082E6"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5FBA7C42" w14:textId="77777777" w:rsidR="00AE4B92" w:rsidRPr="009620E0" w:rsidRDefault="00AE4B92" w:rsidP="00AE4B92">
            <w:pPr>
              <w:spacing w:before="40" w:after="40" w:line="264" w:lineRule="auto"/>
              <w:jc w:val="center"/>
              <w:rPr>
                <w:rFonts w:ascii="Arial" w:hAnsi="Arial" w:cs="Arial"/>
                <w:sz w:val="20"/>
                <w:lang w:val="es-NI"/>
              </w:rPr>
            </w:pPr>
            <w:r w:rsidRPr="009620E0">
              <w:rPr>
                <w:rFonts w:ascii="Arial" w:hAnsi="Arial" w:cs="Arial"/>
                <w:sz w:val="20"/>
                <w:lang w:val="es-NI"/>
              </w:rPr>
              <w:t>Ước tính</w:t>
            </w:r>
          </w:p>
          <w:p w14:paraId="103DCD7E" w14:textId="77777777" w:rsidR="00AE4B92" w:rsidRPr="009620E0" w:rsidRDefault="00AE4B92" w:rsidP="00AE4B92">
            <w:pPr>
              <w:spacing w:before="40" w:after="40" w:line="264" w:lineRule="auto"/>
              <w:jc w:val="center"/>
              <w:rPr>
                <w:rFonts w:ascii="Arial" w:hAnsi="Arial" w:cs="Arial"/>
                <w:b/>
                <w:bCs/>
                <w:i/>
                <w:iCs/>
                <w:sz w:val="20"/>
                <w:lang w:val="es-NI"/>
              </w:rPr>
            </w:pPr>
            <w:r w:rsidRPr="009620E0">
              <w:rPr>
                <w:rFonts w:ascii="Arial" w:hAnsi="Arial" w:cs="Arial"/>
                <w:i/>
                <w:iCs/>
                <w:sz w:val="20"/>
                <w:lang w:val="es-NI"/>
              </w:rPr>
              <w:t>(Triệu USD)</w:t>
            </w:r>
          </w:p>
        </w:tc>
        <w:tc>
          <w:tcPr>
            <w:tcW w:w="2551" w:type="dxa"/>
            <w:tcBorders>
              <w:top w:val="single" w:sz="4" w:space="0" w:color="auto"/>
              <w:bottom w:val="single" w:sz="4" w:space="0" w:color="auto"/>
            </w:tcBorders>
          </w:tcPr>
          <w:p w14:paraId="2E010243" w14:textId="77777777" w:rsidR="00AE4B92" w:rsidRPr="009620E0" w:rsidRDefault="00AE4B92" w:rsidP="00AE4B92">
            <w:pPr>
              <w:spacing w:before="40" w:after="40" w:line="264" w:lineRule="auto"/>
              <w:jc w:val="center"/>
              <w:rPr>
                <w:rFonts w:ascii="Arial" w:hAnsi="Arial" w:cs="Arial"/>
                <w:sz w:val="20"/>
                <w:lang w:val="es-NI"/>
              </w:rPr>
            </w:pPr>
            <w:r w:rsidRPr="009620E0">
              <w:rPr>
                <w:rFonts w:ascii="Arial" w:hAnsi="Arial" w:cs="Arial"/>
                <w:sz w:val="20"/>
                <w:lang w:val="es-NI"/>
              </w:rPr>
              <w:t>Tốc độ tăng so với</w:t>
            </w:r>
          </w:p>
          <w:p w14:paraId="77C0939C" w14:textId="77777777" w:rsidR="00AE4B92" w:rsidRPr="009620E0" w:rsidRDefault="00AE4B92" w:rsidP="00AE4B92">
            <w:pPr>
              <w:spacing w:before="40" w:after="40" w:line="264" w:lineRule="auto"/>
              <w:jc w:val="center"/>
              <w:rPr>
                <w:rFonts w:ascii="Arial" w:hAnsi="Arial" w:cs="Arial"/>
                <w:b/>
                <w:bCs/>
                <w:i/>
                <w:iCs/>
                <w:sz w:val="20"/>
              </w:rPr>
            </w:pPr>
            <w:r w:rsidRPr="009620E0">
              <w:rPr>
                <w:rFonts w:ascii="Arial" w:hAnsi="Arial" w:cs="Arial"/>
                <w:sz w:val="20"/>
              </w:rPr>
              <w:t xml:space="preserve">cùng kỳ năm trước </w:t>
            </w:r>
            <w:r w:rsidRPr="009620E0">
              <w:rPr>
                <w:rFonts w:ascii="Arial" w:hAnsi="Arial" w:cs="Arial"/>
                <w:i/>
                <w:iCs/>
                <w:sz w:val="20"/>
              </w:rPr>
              <w:t>(%)</w:t>
            </w:r>
          </w:p>
        </w:tc>
      </w:tr>
      <w:tr w:rsidR="009620E0" w:rsidRPr="009620E0" w14:paraId="0315A3FD" w14:textId="77777777" w:rsidTr="00AE4B92">
        <w:tc>
          <w:tcPr>
            <w:tcW w:w="4395" w:type="dxa"/>
            <w:vAlign w:val="bottom"/>
          </w:tcPr>
          <w:p w14:paraId="3E62627C" w14:textId="77777777" w:rsidR="00AE4B92" w:rsidRPr="009620E0" w:rsidRDefault="00AE4B92" w:rsidP="00AE4B92">
            <w:pPr>
              <w:spacing w:before="40" w:after="40" w:line="264" w:lineRule="auto"/>
              <w:rPr>
                <w:rFonts w:ascii="Arial" w:hAnsi="Arial" w:cs="Arial"/>
                <w:b/>
                <w:bCs/>
                <w:sz w:val="20"/>
              </w:rPr>
            </w:pPr>
            <w:r w:rsidRPr="009620E0">
              <w:rPr>
                <w:rFonts w:ascii="Arial" w:hAnsi="Arial" w:cs="Arial"/>
                <w:b/>
                <w:bCs/>
                <w:sz w:val="20"/>
              </w:rPr>
              <w:t>Các mặt hàng đạt giá trị trên 1 tỷ USD</w:t>
            </w:r>
          </w:p>
        </w:tc>
        <w:tc>
          <w:tcPr>
            <w:tcW w:w="1842" w:type="dxa"/>
            <w:tcBorders>
              <w:top w:val="single" w:sz="4" w:space="0" w:color="auto"/>
            </w:tcBorders>
          </w:tcPr>
          <w:p w14:paraId="5F68F5C7"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58A9BF1D"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rPr>
            </w:pPr>
          </w:p>
        </w:tc>
      </w:tr>
      <w:tr w:rsidR="009620E0" w:rsidRPr="009620E0" w14:paraId="40064733" w14:textId="77777777" w:rsidTr="00AE4B92">
        <w:tc>
          <w:tcPr>
            <w:tcW w:w="4395" w:type="dxa"/>
            <w:vAlign w:val="bottom"/>
          </w:tcPr>
          <w:p w14:paraId="7040DC53"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Điện tử, máy tính và linh kiện</w:t>
            </w:r>
          </w:p>
        </w:tc>
        <w:tc>
          <w:tcPr>
            <w:tcW w:w="1842" w:type="dxa"/>
            <w:vAlign w:val="bottom"/>
          </w:tcPr>
          <w:p w14:paraId="03515DEF"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9.545</w:t>
            </w:r>
          </w:p>
        </w:tc>
        <w:tc>
          <w:tcPr>
            <w:tcW w:w="2551" w:type="dxa"/>
            <w:vAlign w:val="bottom"/>
          </w:tcPr>
          <w:p w14:paraId="638D5517"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33,9</w:t>
            </w:r>
          </w:p>
        </w:tc>
      </w:tr>
      <w:tr w:rsidR="009620E0" w:rsidRPr="009620E0" w14:paraId="41566DCF" w14:textId="77777777" w:rsidTr="00AE4B92">
        <w:tc>
          <w:tcPr>
            <w:tcW w:w="4395" w:type="dxa"/>
            <w:vAlign w:val="bottom"/>
          </w:tcPr>
          <w:p w14:paraId="4BE632F6"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Điện thoại và linh kiện</w:t>
            </w:r>
          </w:p>
        </w:tc>
        <w:tc>
          <w:tcPr>
            <w:tcW w:w="1842" w:type="dxa"/>
            <w:vAlign w:val="bottom"/>
          </w:tcPr>
          <w:p w14:paraId="593DF37D"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9.580</w:t>
            </w:r>
          </w:p>
        </w:tc>
        <w:tc>
          <w:tcPr>
            <w:tcW w:w="2551" w:type="dxa"/>
            <w:vAlign w:val="bottom"/>
          </w:tcPr>
          <w:p w14:paraId="38B2E05F"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4,1</w:t>
            </w:r>
          </w:p>
        </w:tc>
      </w:tr>
      <w:tr w:rsidR="009620E0" w:rsidRPr="009620E0" w14:paraId="36293C42" w14:textId="77777777" w:rsidTr="00AE4B92">
        <w:tc>
          <w:tcPr>
            <w:tcW w:w="4395" w:type="dxa"/>
            <w:vAlign w:val="bottom"/>
          </w:tcPr>
          <w:p w14:paraId="2BBF7B1D"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Máy móc thiết bị, dụng cụ PT khác</w:t>
            </w:r>
          </w:p>
        </w:tc>
        <w:tc>
          <w:tcPr>
            <w:tcW w:w="1842" w:type="dxa"/>
            <w:vAlign w:val="bottom"/>
          </w:tcPr>
          <w:p w14:paraId="6BE2C400"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6.817</w:t>
            </w:r>
          </w:p>
        </w:tc>
        <w:tc>
          <w:tcPr>
            <w:tcW w:w="2551" w:type="dxa"/>
            <w:vAlign w:val="bottom"/>
          </w:tcPr>
          <w:p w14:paraId="7586243D"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8,4</w:t>
            </w:r>
          </w:p>
        </w:tc>
      </w:tr>
      <w:tr w:rsidR="009620E0" w:rsidRPr="009620E0" w14:paraId="3BC0CD04" w14:textId="77777777" w:rsidTr="00AE4B92">
        <w:tc>
          <w:tcPr>
            <w:tcW w:w="4395" w:type="dxa"/>
            <w:vAlign w:val="bottom"/>
          </w:tcPr>
          <w:p w14:paraId="66F992CE"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Dệt, may</w:t>
            </w:r>
          </w:p>
        </w:tc>
        <w:tc>
          <w:tcPr>
            <w:tcW w:w="1842" w:type="dxa"/>
            <w:vAlign w:val="bottom"/>
          </w:tcPr>
          <w:p w14:paraId="0F81D915"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5.233</w:t>
            </w:r>
          </w:p>
        </w:tc>
        <w:tc>
          <w:tcPr>
            <w:tcW w:w="2551" w:type="dxa"/>
            <w:vAlign w:val="bottom"/>
          </w:tcPr>
          <w:p w14:paraId="0371B1DB"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15,0</w:t>
            </w:r>
          </w:p>
        </w:tc>
      </w:tr>
      <w:tr w:rsidR="009620E0" w:rsidRPr="009620E0" w14:paraId="5ECEC910" w14:textId="77777777" w:rsidTr="00AE4B92">
        <w:tc>
          <w:tcPr>
            <w:tcW w:w="4395" w:type="dxa"/>
            <w:vAlign w:val="bottom"/>
          </w:tcPr>
          <w:p w14:paraId="6E85DD9B"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Giày dép</w:t>
            </w:r>
          </w:p>
        </w:tc>
        <w:tc>
          <w:tcPr>
            <w:tcW w:w="1842" w:type="dxa"/>
            <w:vAlign w:val="bottom"/>
          </w:tcPr>
          <w:p w14:paraId="20936445"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3.271</w:t>
            </w:r>
          </w:p>
        </w:tc>
        <w:tc>
          <w:tcPr>
            <w:tcW w:w="2551" w:type="dxa"/>
            <w:vAlign w:val="bottom"/>
          </w:tcPr>
          <w:p w14:paraId="517A6057"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18,3</w:t>
            </w:r>
          </w:p>
        </w:tc>
      </w:tr>
      <w:tr w:rsidR="009620E0" w:rsidRPr="009620E0" w14:paraId="0023D572" w14:textId="77777777" w:rsidTr="00AE4B92">
        <w:tc>
          <w:tcPr>
            <w:tcW w:w="4395" w:type="dxa"/>
            <w:vAlign w:val="bottom"/>
          </w:tcPr>
          <w:p w14:paraId="3E045463"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Gỗ và sản phẩm gỗ</w:t>
            </w:r>
          </w:p>
        </w:tc>
        <w:tc>
          <w:tcPr>
            <w:tcW w:w="1842" w:type="dxa"/>
            <w:vAlign w:val="bottom"/>
          </w:tcPr>
          <w:p w14:paraId="4726312E"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2.418</w:t>
            </w:r>
          </w:p>
        </w:tc>
        <w:tc>
          <w:tcPr>
            <w:tcW w:w="2551" w:type="dxa"/>
            <w:vAlign w:val="bottom"/>
          </w:tcPr>
          <w:p w14:paraId="1F399C09"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43,8</w:t>
            </w:r>
          </w:p>
        </w:tc>
      </w:tr>
      <w:tr w:rsidR="009620E0" w:rsidRPr="009620E0" w14:paraId="68FD1920" w14:textId="77777777" w:rsidTr="00AE4B92">
        <w:tc>
          <w:tcPr>
            <w:tcW w:w="4395" w:type="dxa"/>
            <w:vAlign w:val="bottom"/>
          </w:tcPr>
          <w:p w14:paraId="79C03786"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Phương tiện vận tải và phụ tùng</w:t>
            </w:r>
          </w:p>
        </w:tc>
        <w:tc>
          <w:tcPr>
            <w:tcW w:w="1842" w:type="dxa"/>
            <w:vAlign w:val="bottom"/>
          </w:tcPr>
          <w:p w14:paraId="5E1F09F6"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2.229</w:t>
            </w:r>
          </w:p>
        </w:tc>
        <w:tc>
          <w:tcPr>
            <w:tcW w:w="2551" w:type="dxa"/>
            <w:vAlign w:val="bottom"/>
          </w:tcPr>
          <w:p w14:paraId="67CE1B60"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15,7</w:t>
            </w:r>
          </w:p>
        </w:tc>
      </w:tr>
      <w:tr w:rsidR="009620E0" w:rsidRPr="009620E0" w14:paraId="43781727" w14:textId="77777777" w:rsidTr="00AE4B92">
        <w:tc>
          <w:tcPr>
            <w:tcW w:w="4395" w:type="dxa"/>
            <w:vAlign w:val="bottom"/>
          </w:tcPr>
          <w:p w14:paraId="50B9C601"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Sắt thép</w:t>
            </w:r>
          </w:p>
        </w:tc>
        <w:tc>
          <w:tcPr>
            <w:tcW w:w="1842" w:type="dxa"/>
            <w:vAlign w:val="bottom"/>
          </w:tcPr>
          <w:p w14:paraId="01EDE4FE"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1.500</w:t>
            </w:r>
          </w:p>
        </w:tc>
        <w:tc>
          <w:tcPr>
            <w:tcW w:w="2551" w:type="dxa"/>
            <w:vAlign w:val="bottom"/>
          </w:tcPr>
          <w:p w14:paraId="1E768279"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45,4</w:t>
            </w:r>
          </w:p>
        </w:tc>
      </w:tr>
      <w:tr w:rsidR="009620E0" w:rsidRPr="009620E0" w14:paraId="302C4673" w14:textId="77777777" w:rsidTr="00AE4B92">
        <w:tc>
          <w:tcPr>
            <w:tcW w:w="4395" w:type="dxa"/>
            <w:vAlign w:val="bottom"/>
          </w:tcPr>
          <w:p w14:paraId="711D10AD"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Máy ảnh, máy quay phim và LK</w:t>
            </w:r>
          </w:p>
        </w:tc>
        <w:tc>
          <w:tcPr>
            <w:tcW w:w="1842" w:type="dxa"/>
            <w:vAlign w:val="bottom"/>
          </w:tcPr>
          <w:p w14:paraId="0315B111"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1.423</w:t>
            </w:r>
          </w:p>
        </w:tc>
        <w:tc>
          <w:tcPr>
            <w:tcW w:w="2551" w:type="dxa"/>
            <w:vAlign w:val="bottom"/>
          </w:tcPr>
          <w:p w14:paraId="72368229"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65,0</w:t>
            </w:r>
          </w:p>
        </w:tc>
      </w:tr>
      <w:tr w:rsidR="009620E0" w:rsidRPr="009620E0" w14:paraId="098CB72A" w14:textId="77777777" w:rsidTr="00AE4B92">
        <w:tc>
          <w:tcPr>
            <w:tcW w:w="4395" w:type="dxa"/>
            <w:vAlign w:val="bottom"/>
          </w:tcPr>
          <w:p w14:paraId="2D977562"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 xml:space="preserve">Thủy sản </w:t>
            </w:r>
          </w:p>
        </w:tc>
        <w:tc>
          <w:tcPr>
            <w:tcW w:w="1842" w:type="dxa"/>
            <w:vAlign w:val="bottom"/>
          </w:tcPr>
          <w:p w14:paraId="267EEEA5"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1.300</w:t>
            </w:r>
          </w:p>
        </w:tc>
        <w:tc>
          <w:tcPr>
            <w:tcW w:w="2551" w:type="dxa"/>
            <w:vAlign w:val="bottom"/>
          </w:tcPr>
          <w:p w14:paraId="6E95F2B3"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22,3</w:t>
            </w:r>
          </w:p>
        </w:tc>
      </w:tr>
      <w:tr w:rsidR="00AE4B92" w:rsidRPr="009620E0" w14:paraId="46F7C420" w14:textId="77777777" w:rsidTr="00AE4B92">
        <w:tc>
          <w:tcPr>
            <w:tcW w:w="4395" w:type="dxa"/>
            <w:vAlign w:val="bottom"/>
          </w:tcPr>
          <w:p w14:paraId="765B7CBA" w14:textId="77777777" w:rsidR="00AE4B92" w:rsidRPr="009620E0" w:rsidRDefault="00AE4B92" w:rsidP="00AE4B92">
            <w:pPr>
              <w:spacing w:before="40" w:after="40" w:line="264" w:lineRule="auto"/>
              <w:ind w:firstLine="170"/>
              <w:rPr>
                <w:rFonts w:ascii="Arial" w:hAnsi="Arial" w:cs="Arial"/>
                <w:sz w:val="18"/>
                <w:szCs w:val="18"/>
              </w:rPr>
            </w:pPr>
            <w:r w:rsidRPr="009620E0">
              <w:rPr>
                <w:rFonts w:ascii="Arial" w:hAnsi="Arial" w:cs="Arial"/>
                <w:sz w:val="18"/>
                <w:szCs w:val="18"/>
              </w:rPr>
              <w:t>Cà phê</w:t>
            </w:r>
          </w:p>
        </w:tc>
        <w:tc>
          <w:tcPr>
            <w:tcW w:w="1842" w:type="dxa"/>
            <w:vAlign w:val="bottom"/>
          </w:tcPr>
          <w:p w14:paraId="2ECCEDCC" w14:textId="77777777" w:rsidR="00AE4B92" w:rsidRPr="009620E0" w:rsidRDefault="00AE4B92" w:rsidP="00AE4B92">
            <w:pPr>
              <w:spacing w:before="40" w:after="40" w:line="264" w:lineRule="auto"/>
              <w:ind w:firstLine="170"/>
              <w:jc w:val="center"/>
              <w:rPr>
                <w:rFonts w:ascii="Arial" w:hAnsi="Arial" w:cs="Arial"/>
                <w:sz w:val="18"/>
                <w:szCs w:val="18"/>
              </w:rPr>
            </w:pPr>
            <w:r w:rsidRPr="009620E0">
              <w:rPr>
                <w:rFonts w:ascii="Arial" w:hAnsi="Arial" w:cs="Arial"/>
                <w:sz w:val="18"/>
                <w:szCs w:val="18"/>
              </w:rPr>
              <w:t>1.251</w:t>
            </w:r>
          </w:p>
        </w:tc>
        <w:tc>
          <w:tcPr>
            <w:tcW w:w="2551" w:type="dxa"/>
            <w:vAlign w:val="bottom"/>
          </w:tcPr>
          <w:p w14:paraId="06CB7943" w14:textId="77777777" w:rsidR="00AE4B92" w:rsidRPr="009620E0" w:rsidRDefault="00AE4B92" w:rsidP="00AE4B92">
            <w:pPr>
              <w:spacing w:before="40" w:after="40" w:line="264" w:lineRule="auto"/>
              <w:ind w:right="880" w:firstLine="170"/>
              <w:jc w:val="right"/>
              <w:rPr>
                <w:rFonts w:ascii="Arial" w:hAnsi="Arial" w:cs="Arial"/>
                <w:sz w:val="18"/>
                <w:szCs w:val="18"/>
              </w:rPr>
            </w:pPr>
            <w:r w:rsidRPr="009620E0">
              <w:rPr>
                <w:rFonts w:ascii="Arial" w:hAnsi="Arial" w:cs="Arial"/>
                <w:sz w:val="18"/>
                <w:szCs w:val="18"/>
              </w:rPr>
              <w:t>67,5</w:t>
            </w:r>
          </w:p>
        </w:tc>
      </w:tr>
    </w:tbl>
    <w:p w14:paraId="2A2BCFBA" w14:textId="77777777" w:rsidR="00AE4B92" w:rsidRPr="009620E0" w:rsidRDefault="00AE4B92" w:rsidP="00AE4B9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6DCCCCB6" w14:textId="77777777" w:rsidR="00AE4B92" w:rsidRPr="009620E0" w:rsidRDefault="00AE4B92" w:rsidP="00AE4B92">
      <w:pPr>
        <w:spacing w:before="40" w:after="40" w:line="264" w:lineRule="auto"/>
        <w:rPr>
          <w:rFonts w:eastAsia="Batang"/>
          <w:bCs/>
          <w:i/>
          <w:spacing w:val="-6"/>
          <w:sz w:val="2"/>
        </w:rPr>
      </w:pPr>
    </w:p>
    <w:p w14:paraId="64D66085" w14:textId="77777777" w:rsidR="00AE4B92" w:rsidRPr="009620E0" w:rsidRDefault="00AE4B92" w:rsidP="00AE4B92">
      <w:pPr>
        <w:spacing w:before="40" w:after="40" w:line="252" w:lineRule="auto"/>
        <w:jc w:val="both"/>
        <w:rPr>
          <w:rFonts w:eastAsia="Batang"/>
          <w:bCs/>
          <w:noProof/>
          <w:spacing w:val="-4"/>
        </w:rPr>
      </w:pPr>
      <w:r w:rsidRPr="009620E0">
        <w:rPr>
          <w:noProof/>
          <w:spacing w:val="-2"/>
        </w:rPr>
        <mc:AlternateContent>
          <mc:Choice Requires="wps">
            <w:drawing>
              <wp:anchor distT="0" distB="0" distL="114300" distR="114300" simplePos="0" relativeHeight="251664896" behindDoc="0" locked="0" layoutInCell="1" allowOverlap="1" wp14:anchorId="78F707B8" wp14:editId="37F01FD8">
                <wp:simplePos x="0" y="0"/>
                <wp:positionH relativeFrom="column">
                  <wp:posOffset>24765</wp:posOffset>
                </wp:positionH>
                <wp:positionV relativeFrom="paragraph">
                  <wp:posOffset>88265</wp:posOffset>
                </wp:positionV>
                <wp:extent cx="3450590" cy="22656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79A547D6" w14:textId="77777777" w:rsidR="00F855C2" w:rsidRPr="000363AB" w:rsidRDefault="00F855C2" w:rsidP="00AE4B92">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54C1D8E6" w14:textId="77777777" w:rsidR="00F855C2" w:rsidRDefault="00F855C2" w:rsidP="00AE4B92">
                            <w:pPr>
                              <w:spacing w:after="120"/>
                              <w:jc w:val="center"/>
                              <w:rPr>
                                <w:rFonts w:ascii="Arial" w:hAnsi="Arial" w:cs="Arial"/>
                                <w:b/>
                                <w:bCs/>
                                <w:sz w:val="24"/>
                                <w:szCs w:val="24"/>
                              </w:rPr>
                            </w:pPr>
                            <w:r>
                              <w:rPr>
                                <w:rFonts w:ascii="Arial" w:hAnsi="Arial" w:cs="Arial"/>
                                <w:b/>
                                <w:bCs/>
                                <w:sz w:val="24"/>
                                <w:szCs w:val="24"/>
                              </w:rPr>
                              <w:t>2</w:t>
                            </w:r>
                            <w:r w:rsidRPr="000363AB">
                              <w:rPr>
                                <w:rFonts w:ascii="Arial" w:hAnsi="Arial" w:cs="Arial"/>
                                <w:b/>
                                <w:bCs/>
                                <w:sz w:val="24"/>
                                <w:szCs w:val="24"/>
                              </w:rPr>
                              <w:t xml:space="preserve"> tháng </w:t>
                            </w:r>
                            <w:r>
                              <w:rPr>
                                <w:rFonts w:ascii="Arial" w:hAnsi="Arial" w:cs="Arial"/>
                                <w:b/>
                                <w:bCs/>
                                <w:sz w:val="24"/>
                                <w:szCs w:val="24"/>
                              </w:rPr>
                              <w:t xml:space="preserve">đầu </w:t>
                            </w:r>
                            <w:r w:rsidRPr="000363AB">
                              <w:rPr>
                                <w:rFonts w:ascii="Arial" w:hAnsi="Arial" w:cs="Arial"/>
                                <w:b/>
                                <w:bCs/>
                                <w:sz w:val="24"/>
                                <w:szCs w:val="24"/>
                              </w:rPr>
                              <w:t xml:space="preserve">năm </w:t>
                            </w:r>
                            <w:r>
                              <w:rPr>
                                <w:rFonts w:ascii="Arial" w:hAnsi="Arial" w:cs="Arial"/>
                                <w:b/>
                                <w:bCs/>
                                <w:sz w:val="24"/>
                                <w:szCs w:val="24"/>
                              </w:rPr>
                              <w:t>2024</w:t>
                            </w:r>
                            <w:r w:rsidRPr="000363AB">
                              <w:rPr>
                                <w:rFonts w:ascii="Arial" w:hAnsi="Arial" w:cs="Arial"/>
                                <w:b/>
                                <w:bCs/>
                                <w:sz w:val="24"/>
                                <w:szCs w:val="24"/>
                              </w:rPr>
                              <w:t xml:space="preserve"> </w:t>
                            </w:r>
                          </w:p>
                          <w:p w14:paraId="2BAAC8A5" w14:textId="77777777" w:rsidR="00F855C2" w:rsidRPr="00271B83" w:rsidRDefault="00F855C2" w:rsidP="00AE4B92">
                            <w:pPr>
                              <w:ind w:left="-142"/>
                              <w:jc w:val="center"/>
                              <w:rPr>
                                <w:rFonts w:ascii="Arial" w:hAnsi="Arial" w:cs="Arial"/>
                                <w:sz w:val="24"/>
                                <w:szCs w:val="24"/>
                              </w:rPr>
                            </w:pPr>
                            <w:r w:rsidRPr="00875E6A">
                              <w:rPr>
                                <w:noProof/>
                              </w:rPr>
                              <w:drawing>
                                <wp:inline distT="0" distB="0" distL="0" distR="0" wp14:anchorId="22371B45" wp14:editId="371DF08C">
                                  <wp:extent cx="3369310" cy="1668780"/>
                                  <wp:effectExtent l="0" t="0" r="2540"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310" cy="166878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8F707B8" id="_x0000_t202" coordsize="21600,21600" o:spt="202" path="m,l,21600r21600,l21600,xe">
                <v:stroke joinstyle="miter"/>
                <v:path gradientshapeok="t" o:connecttype="rect"/>
              </v:shapetype>
              <v:shape id="Text Box 2" o:spid="_x0000_s1026" type="#_x0000_t202" style="position:absolute;left:0;text-align:left;margin-left:1.95pt;margin-top:6.95pt;width:271.7pt;height:17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" stroked="f">
                <v:textbox inset="1mm,1mm,1mm,1mm">
                  <w:txbxContent>
                    <w:p w14:paraId="79A547D6" w14:textId="77777777" w:rsidR="00F855C2" w:rsidRPr="000363AB" w:rsidRDefault="00F855C2" w:rsidP="00AE4B92">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54C1D8E6" w14:textId="77777777" w:rsidR="00F855C2" w:rsidRDefault="00F855C2" w:rsidP="00AE4B92">
                      <w:pPr>
                        <w:spacing w:after="120"/>
                        <w:jc w:val="center"/>
                        <w:rPr>
                          <w:rFonts w:ascii="Arial" w:hAnsi="Arial" w:cs="Arial"/>
                          <w:b/>
                          <w:bCs/>
                          <w:sz w:val="24"/>
                          <w:szCs w:val="24"/>
                        </w:rPr>
                      </w:pPr>
                      <w:r>
                        <w:rPr>
                          <w:rFonts w:ascii="Arial" w:hAnsi="Arial" w:cs="Arial"/>
                          <w:b/>
                          <w:bCs/>
                          <w:sz w:val="24"/>
                          <w:szCs w:val="24"/>
                        </w:rPr>
                        <w:t>2</w:t>
                      </w:r>
                      <w:r w:rsidRPr="000363AB">
                        <w:rPr>
                          <w:rFonts w:ascii="Arial" w:hAnsi="Arial" w:cs="Arial"/>
                          <w:b/>
                          <w:bCs/>
                          <w:sz w:val="24"/>
                          <w:szCs w:val="24"/>
                        </w:rPr>
                        <w:t xml:space="preserve"> tháng </w:t>
                      </w:r>
                      <w:r>
                        <w:rPr>
                          <w:rFonts w:ascii="Arial" w:hAnsi="Arial" w:cs="Arial"/>
                          <w:b/>
                          <w:bCs/>
                          <w:sz w:val="24"/>
                          <w:szCs w:val="24"/>
                        </w:rPr>
                        <w:t xml:space="preserve">đầu </w:t>
                      </w:r>
                      <w:r w:rsidRPr="000363AB">
                        <w:rPr>
                          <w:rFonts w:ascii="Arial" w:hAnsi="Arial" w:cs="Arial"/>
                          <w:b/>
                          <w:bCs/>
                          <w:sz w:val="24"/>
                          <w:szCs w:val="24"/>
                        </w:rPr>
                        <w:t xml:space="preserve">năm </w:t>
                      </w:r>
                      <w:r>
                        <w:rPr>
                          <w:rFonts w:ascii="Arial" w:hAnsi="Arial" w:cs="Arial"/>
                          <w:b/>
                          <w:bCs/>
                          <w:sz w:val="24"/>
                          <w:szCs w:val="24"/>
                        </w:rPr>
                        <w:t>2024</w:t>
                      </w:r>
                      <w:r w:rsidRPr="000363AB">
                        <w:rPr>
                          <w:rFonts w:ascii="Arial" w:hAnsi="Arial" w:cs="Arial"/>
                          <w:b/>
                          <w:bCs/>
                          <w:sz w:val="24"/>
                          <w:szCs w:val="24"/>
                        </w:rPr>
                        <w:t xml:space="preserve"> </w:t>
                      </w:r>
                    </w:p>
                    <w:p w14:paraId="2BAAC8A5" w14:textId="77777777" w:rsidR="00F855C2" w:rsidRPr="00271B83" w:rsidRDefault="00F855C2" w:rsidP="00AE4B92">
                      <w:pPr>
                        <w:ind w:left="-142"/>
                        <w:jc w:val="center"/>
                        <w:rPr>
                          <w:rFonts w:ascii="Arial" w:hAnsi="Arial" w:cs="Arial"/>
                          <w:sz w:val="24"/>
                          <w:szCs w:val="24"/>
                        </w:rPr>
                      </w:pPr>
                      <w:r w:rsidRPr="00875E6A">
                        <w:rPr>
                          <w:noProof/>
                        </w:rPr>
                        <w:drawing>
                          <wp:inline distT="0" distB="0" distL="0" distR="0" wp14:anchorId="22371B45" wp14:editId="371DF08C">
                            <wp:extent cx="3369310" cy="1668780"/>
                            <wp:effectExtent l="0" t="0" r="2540"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310" cy="1668780"/>
                                    </a:xfrm>
                                    <a:prstGeom prst="rect">
                                      <a:avLst/>
                                    </a:prstGeom>
                                    <a:noFill/>
                                    <a:ln>
                                      <a:noFill/>
                                    </a:ln>
                                  </pic:spPr>
                                </pic:pic>
                              </a:graphicData>
                            </a:graphic>
                          </wp:inline>
                        </w:drawing>
                      </w:r>
                    </w:p>
                  </w:txbxContent>
                </v:textbox>
                <w10:wrap type="square"/>
              </v:shape>
            </w:pict>
          </mc:Fallback>
        </mc:AlternateContent>
      </w:r>
      <w:r w:rsidRPr="009620E0">
        <w:rPr>
          <w:rFonts w:eastAsia="Batang"/>
          <w:bCs/>
          <w:i/>
          <w:noProof/>
          <w:spacing w:val="-2"/>
        </w:rPr>
        <w:t xml:space="preserve"> </w:t>
      </w:r>
      <w:r w:rsidRPr="009620E0">
        <w:rPr>
          <w:rFonts w:eastAsia="Batang"/>
          <w:bCs/>
          <w:i/>
          <w:noProof/>
          <w:spacing w:val="-4"/>
        </w:rPr>
        <w:t xml:space="preserve">Về cơ cấu nhóm hàng xuất khẩu 2 tháng đầu năm 2024, </w:t>
      </w:r>
      <w:r w:rsidRPr="009620E0">
        <w:rPr>
          <w:rFonts w:eastAsia="Batang"/>
          <w:bCs/>
          <w:noProof/>
          <w:spacing w:val="-4"/>
        </w:rPr>
        <w:t>nhóm hàng nhiên liệu và khoáng sản ước đạt 0,59 tỷ USD, chiếm 1%; nhóm hàng công nghiệp chế biến ước đạt 52,45 tỷ USD, chiếm 88,4%; nhóm hàng nông sản, lâm sản ước đạt 5 tỷ USD, chiếm 8,4%; nhóm hàng thủy sản ước đạt 1,3 tỷ USD, chiếm 2,2%.</w:t>
      </w:r>
    </w:p>
    <w:p w14:paraId="0F41B8A5" w14:textId="77777777" w:rsidR="00AE4B92" w:rsidRPr="009620E0" w:rsidRDefault="00AE4B92" w:rsidP="00A20988">
      <w:pPr>
        <w:tabs>
          <w:tab w:val="left" w:pos="900"/>
          <w:tab w:val="left" w:pos="9475"/>
        </w:tabs>
        <w:spacing w:after="120" w:line="276" w:lineRule="auto"/>
        <w:ind w:right="6" w:firstLine="567"/>
        <w:jc w:val="both"/>
        <w:rPr>
          <w:rStyle w:val="Strong"/>
          <w:i/>
          <w:iCs/>
          <w:lang w:val="de-DE"/>
        </w:rPr>
      </w:pPr>
      <w:r w:rsidRPr="009620E0">
        <w:rPr>
          <w:rStyle w:val="Strong"/>
          <w:i/>
          <w:iCs/>
          <w:lang w:val="de-DE"/>
        </w:rPr>
        <w:t>Nhập khẩu hàng hóa</w:t>
      </w:r>
    </w:p>
    <w:p w14:paraId="67553BC0" w14:textId="77777777" w:rsidR="00AE4B92" w:rsidRPr="009620E0" w:rsidRDefault="00AE4B92" w:rsidP="00A20988">
      <w:pPr>
        <w:tabs>
          <w:tab w:val="num" w:pos="0"/>
          <w:tab w:val="left" w:pos="9475"/>
        </w:tabs>
        <w:spacing w:after="120" w:line="276" w:lineRule="auto"/>
        <w:ind w:right="6" w:firstLine="567"/>
        <w:jc w:val="both"/>
        <w:rPr>
          <w:bCs/>
          <w:lang w:val="de-DE"/>
        </w:rPr>
      </w:pPr>
      <w:r w:rsidRPr="009620E0">
        <w:rPr>
          <w:bCs/>
          <w:lang w:val="de-DE"/>
        </w:rPr>
        <w:t>Kim ngạch nhập khẩu hàng hóa tháng 01/2024 sơ bộ đạt 30,9 tỷ USD, cao hơn 250 triệu USD so với số ước tính.</w:t>
      </w:r>
    </w:p>
    <w:p w14:paraId="4BE21C3A" w14:textId="77777777" w:rsidR="00AE4B92" w:rsidRPr="009620E0" w:rsidRDefault="00AE4B92" w:rsidP="00A20988">
      <w:pPr>
        <w:tabs>
          <w:tab w:val="num" w:pos="0"/>
          <w:tab w:val="left" w:pos="9475"/>
        </w:tabs>
        <w:spacing w:after="120" w:line="276" w:lineRule="auto"/>
        <w:ind w:right="6" w:firstLine="567"/>
        <w:jc w:val="both"/>
        <w:rPr>
          <w:spacing w:val="-6"/>
          <w:lang w:val="de-DE"/>
        </w:rPr>
      </w:pPr>
      <w:r w:rsidRPr="009620E0">
        <w:rPr>
          <w:bCs/>
          <w:spacing w:val="-6"/>
          <w:lang w:val="de-DE"/>
        </w:rPr>
        <w:t xml:space="preserve">Kim ngạch nhập khẩu hàng hóa tháng 02/2024 ước đạt 23,72 tỷ USD, giảm 23,2% so với tháng trước. Trong đó, khu vực kinh tế trong nước đạt 8,42 tỷ USD, giảm 25,2%; khu vực có vốn đầu tư nước ngoài đạt 15,3 tỷ USD, giảm 22,1%. </w:t>
      </w:r>
      <w:r w:rsidRPr="009620E0">
        <w:rPr>
          <w:spacing w:val="-6"/>
          <w:lang w:val="de-DE"/>
        </w:rPr>
        <w:t xml:space="preserve">So với cùng kỳ năm trước, kim ngạch nhập khẩu hàng hóa tháng Hai tăng 1,8%, trong đó khu vực kinh tế trong nước tăng 5,4%; khu vực có vốn đầu tư nước ngoài giảm 0,1%. </w:t>
      </w:r>
    </w:p>
    <w:p w14:paraId="3C61B0FE" w14:textId="77777777" w:rsidR="00AE4B92" w:rsidRPr="009620E0" w:rsidRDefault="00AE4B92" w:rsidP="00A20988">
      <w:pPr>
        <w:tabs>
          <w:tab w:val="num" w:pos="0"/>
          <w:tab w:val="left" w:pos="9475"/>
        </w:tabs>
        <w:spacing w:after="120" w:line="276" w:lineRule="auto"/>
        <w:ind w:right="6" w:firstLine="567"/>
        <w:jc w:val="both"/>
        <w:rPr>
          <w:bCs/>
          <w:lang w:val="de-DE"/>
        </w:rPr>
      </w:pPr>
      <w:r w:rsidRPr="009620E0">
        <w:rPr>
          <w:lang w:val="de-DE"/>
        </w:rPr>
        <w:t>Tính chung 2 tháng đầu năm 2024, kim ngạch nhập khẩu hàng hóa ước đạt 54,62 tỷ USD, tăng 18% so với cùng kỳ năm trước</w:t>
      </w:r>
      <w:r w:rsidRPr="009620E0">
        <w:rPr>
          <w:bCs/>
          <w:lang w:val="de-DE"/>
        </w:rPr>
        <w:t xml:space="preserve">, trong đó khu vực kinh tế </w:t>
      </w:r>
      <w:r w:rsidRPr="009620E0">
        <w:rPr>
          <w:bCs/>
          <w:lang w:val="de-DE"/>
        </w:rPr>
        <w:lastRenderedPageBreak/>
        <w:t xml:space="preserve">trong nước đạt 19,67 tỷ USD, </w:t>
      </w:r>
      <w:r w:rsidRPr="009620E0">
        <w:rPr>
          <w:lang w:val="de-DE"/>
        </w:rPr>
        <w:t>tăng</w:t>
      </w:r>
      <w:r w:rsidRPr="009620E0">
        <w:rPr>
          <w:bCs/>
          <w:lang w:val="de-DE"/>
        </w:rPr>
        <w:t xml:space="preserve"> 27,4%; khu vực có vốn đầu tư nước ngoài đạt 34,95 tỷ USD, </w:t>
      </w:r>
      <w:r w:rsidRPr="009620E0">
        <w:rPr>
          <w:lang w:val="de-DE"/>
        </w:rPr>
        <w:t>tăng</w:t>
      </w:r>
      <w:r w:rsidRPr="009620E0">
        <w:rPr>
          <w:bCs/>
          <w:lang w:val="de-DE"/>
        </w:rPr>
        <w:t xml:space="preserve"> 13,3%. </w:t>
      </w:r>
    </w:p>
    <w:p w14:paraId="0ACFC489" w14:textId="77777777" w:rsidR="00AE4B92" w:rsidRPr="009620E0" w:rsidRDefault="00AE4B92" w:rsidP="00AE4B92">
      <w:pPr>
        <w:tabs>
          <w:tab w:val="left" w:pos="9475"/>
        </w:tabs>
        <w:spacing w:after="120" w:line="288" w:lineRule="auto"/>
        <w:ind w:right="6" w:firstLine="567"/>
        <w:jc w:val="both"/>
        <w:rPr>
          <w:rStyle w:val="Strong"/>
          <w:b w:val="0"/>
          <w:lang w:val="de-DE"/>
        </w:rPr>
      </w:pPr>
      <w:r w:rsidRPr="009620E0">
        <w:rPr>
          <w:lang w:val="de-DE"/>
        </w:rPr>
        <w:t>Trong 2 tháng đầu năm 2024 c</w:t>
      </w:r>
      <w:r w:rsidRPr="009620E0">
        <w:rPr>
          <w:rStyle w:val="Strong"/>
          <w:b w:val="0"/>
          <w:bCs w:val="0"/>
          <w:lang w:val="de-DE"/>
        </w:rPr>
        <w:t>ó 13 mặt hàng nhập khẩu đạt trị giá trên 1 tỷ USD, chiếm tỷ trọng 71% tổng kim ngạch nhập khẩu</w:t>
      </w:r>
      <w:r w:rsidRPr="009620E0">
        <w:rPr>
          <w:rStyle w:val="Strong"/>
          <w:lang w:val="de-DE"/>
        </w:rPr>
        <w:t xml:space="preserve"> </w:t>
      </w:r>
      <w:r w:rsidRPr="009620E0">
        <w:rPr>
          <w:bCs/>
          <w:lang w:val="de-DE"/>
        </w:rPr>
        <w:t>(có 02 mặt hàng nhập khẩu trên 5 tỷ USD, chiếm 41,3%)</w:t>
      </w:r>
      <w:r w:rsidRPr="009620E0">
        <w:rPr>
          <w:rStyle w:val="Strong"/>
          <w:lang w:val="de-DE"/>
        </w:rPr>
        <w:t>.</w:t>
      </w:r>
    </w:p>
    <w:p w14:paraId="5FB38174" w14:textId="77777777" w:rsidR="00AE4B92" w:rsidRPr="009620E0" w:rsidRDefault="00AE4B92" w:rsidP="00AE4B92">
      <w:pPr>
        <w:tabs>
          <w:tab w:val="left" w:pos="9475"/>
        </w:tabs>
        <w:spacing w:before="40" w:after="40" w:line="264" w:lineRule="auto"/>
        <w:ind w:right="6"/>
        <w:jc w:val="center"/>
        <w:rPr>
          <w:rFonts w:ascii="Arial" w:hAnsi="Arial" w:cs="Arial"/>
          <w:b/>
          <w:bCs/>
          <w:sz w:val="24"/>
          <w:szCs w:val="24"/>
          <w:lang w:val="de-DE"/>
        </w:rPr>
      </w:pPr>
      <w:r w:rsidRPr="009620E0">
        <w:rPr>
          <w:rFonts w:ascii="Arial" w:hAnsi="Arial" w:cs="Arial"/>
          <w:b/>
          <w:spacing w:val="-2"/>
          <w:sz w:val="24"/>
          <w:szCs w:val="20"/>
          <w:lang w:val="pl-PL"/>
        </w:rPr>
        <w:t xml:space="preserve">Biểu 5. </w:t>
      </w:r>
      <w:r w:rsidRPr="009620E0">
        <w:rPr>
          <w:rFonts w:ascii="Arial" w:hAnsi="Arial" w:cs="Arial"/>
          <w:b/>
          <w:bCs/>
          <w:sz w:val="24"/>
          <w:szCs w:val="24"/>
          <w:lang w:val="de-DE"/>
        </w:rPr>
        <w:t>Trị giá một số mặt hàng nhập khẩu 2 tháng đầu năm 2024</w:t>
      </w:r>
    </w:p>
    <w:p w14:paraId="047A1623" w14:textId="77777777" w:rsidR="00AE4B92" w:rsidRPr="009620E0" w:rsidRDefault="00AE4B92" w:rsidP="00AE4B92">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9620E0" w:rsidRPr="009620E0" w14:paraId="095DE2E4" w14:textId="77777777" w:rsidTr="00AE4B92">
        <w:trPr>
          <w:trHeight w:val="742"/>
        </w:trPr>
        <w:tc>
          <w:tcPr>
            <w:tcW w:w="4443" w:type="dxa"/>
          </w:tcPr>
          <w:p w14:paraId="5AAFEBC5"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29F4C11B" w14:textId="77777777" w:rsidR="00AE4B92" w:rsidRPr="009620E0" w:rsidRDefault="00AE4B92" w:rsidP="00AE4B92">
            <w:pPr>
              <w:spacing w:before="40" w:after="40" w:line="264" w:lineRule="auto"/>
              <w:jc w:val="center"/>
              <w:rPr>
                <w:rFonts w:ascii="Arial" w:hAnsi="Arial" w:cs="Arial"/>
                <w:sz w:val="20"/>
                <w:lang w:val="pl-PL"/>
              </w:rPr>
            </w:pPr>
            <w:r w:rsidRPr="009620E0">
              <w:rPr>
                <w:rFonts w:ascii="Arial" w:hAnsi="Arial" w:cs="Arial"/>
                <w:sz w:val="20"/>
                <w:lang w:val="pl-PL"/>
              </w:rPr>
              <w:t xml:space="preserve">Ước tính </w:t>
            </w:r>
          </w:p>
          <w:p w14:paraId="2DA0E8CC" w14:textId="77777777" w:rsidR="00AE4B92" w:rsidRPr="009620E0" w:rsidRDefault="00AE4B92" w:rsidP="00AE4B92">
            <w:pPr>
              <w:spacing w:before="40" w:after="40" w:line="264" w:lineRule="auto"/>
              <w:jc w:val="center"/>
              <w:rPr>
                <w:rFonts w:ascii="Arial" w:hAnsi="Arial" w:cs="Arial"/>
                <w:b/>
                <w:bCs/>
                <w:i/>
                <w:iCs/>
                <w:sz w:val="20"/>
                <w:lang w:val="pl-PL"/>
              </w:rPr>
            </w:pPr>
            <w:r w:rsidRPr="009620E0">
              <w:rPr>
                <w:rFonts w:ascii="Arial" w:hAnsi="Arial" w:cs="Arial"/>
                <w:i/>
                <w:iCs/>
                <w:sz w:val="20"/>
                <w:lang w:val="pl-PL"/>
              </w:rPr>
              <w:t>(Triệu USD)</w:t>
            </w:r>
          </w:p>
        </w:tc>
        <w:tc>
          <w:tcPr>
            <w:tcW w:w="2722" w:type="dxa"/>
            <w:tcBorders>
              <w:top w:val="single" w:sz="4" w:space="0" w:color="auto"/>
              <w:bottom w:val="single" w:sz="4" w:space="0" w:color="auto"/>
            </w:tcBorders>
          </w:tcPr>
          <w:p w14:paraId="110FB899" w14:textId="77777777" w:rsidR="00AE4B92" w:rsidRPr="009620E0" w:rsidRDefault="00AE4B92" w:rsidP="00AE4B92">
            <w:pPr>
              <w:spacing w:before="40" w:after="40" w:line="264" w:lineRule="auto"/>
              <w:jc w:val="center"/>
              <w:rPr>
                <w:rFonts w:ascii="Arial" w:hAnsi="Arial" w:cs="Arial"/>
                <w:sz w:val="20"/>
                <w:lang w:val="pl-PL"/>
              </w:rPr>
            </w:pPr>
            <w:r w:rsidRPr="009620E0">
              <w:rPr>
                <w:rFonts w:ascii="Arial" w:hAnsi="Arial" w:cs="Arial"/>
                <w:sz w:val="20"/>
                <w:lang w:val="pl-PL"/>
              </w:rPr>
              <w:t>Tốc độ tăng/giảm so với</w:t>
            </w:r>
          </w:p>
          <w:p w14:paraId="23297AEF" w14:textId="77777777" w:rsidR="00AE4B92" w:rsidRPr="009620E0" w:rsidRDefault="00AE4B92" w:rsidP="00AE4B92">
            <w:pPr>
              <w:spacing w:before="40" w:after="40" w:line="264" w:lineRule="auto"/>
              <w:jc w:val="center"/>
              <w:rPr>
                <w:rFonts w:ascii="Arial" w:hAnsi="Arial" w:cs="Arial"/>
                <w:b/>
                <w:bCs/>
                <w:i/>
                <w:iCs/>
                <w:sz w:val="20"/>
              </w:rPr>
            </w:pPr>
            <w:r w:rsidRPr="009620E0">
              <w:rPr>
                <w:rFonts w:ascii="Arial" w:hAnsi="Arial" w:cs="Arial"/>
                <w:sz w:val="20"/>
              </w:rPr>
              <w:t xml:space="preserve">cùng kỳ năm trước </w:t>
            </w:r>
            <w:r w:rsidRPr="009620E0">
              <w:rPr>
                <w:rFonts w:ascii="Arial" w:hAnsi="Arial" w:cs="Arial"/>
                <w:i/>
                <w:iCs/>
                <w:sz w:val="20"/>
              </w:rPr>
              <w:t>(%)</w:t>
            </w:r>
          </w:p>
        </w:tc>
      </w:tr>
      <w:tr w:rsidR="009620E0" w:rsidRPr="009620E0" w14:paraId="08D9746D" w14:textId="77777777" w:rsidTr="00AE4B92">
        <w:trPr>
          <w:trHeight w:val="394"/>
        </w:trPr>
        <w:tc>
          <w:tcPr>
            <w:tcW w:w="4443" w:type="dxa"/>
            <w:vAlign w:val="bottom"/>
          </w:tcPr>
          <w:p w14:paraId="71D603EA" w14:textId="77777777" w:rsidR="00AE4B92" w:rsidRPr="009620E0" w:rsidRDefault="00AE4B92" w:rsidP="00AE4B92">
            <w:pPr>
              <w:spacing w:before="40" w:after="40" w:line="264" w:lineRule="auto"/>
              <w:rPr>
                <w:rFonts w:ascii="Arial" w:hAnsi="Arial" w:cs="Arial"/>
                <w:b/>
                <w:bCs/>
                <w:sz w:val="20"/>
              </w:rPr>
            </w:pPr>
            <w:r w:rsidRPr="009620E0">
              <w:rPr>
                <w:rFonts w:ascii="Arial" w:hAnsi="Arial" w:cs="Arial"/>
                <w:b/>
                <w:bCs/>
                <w:sz w:val="20"/>
              </w:rPr>
              <w:t>Các mặt hàng đạt giá trị trên 1 tỷ USD</w:t>
            </w:r>
          </w:p>
        </w:tc>
        <w:tc>
          <w:tcPr>
            <w:tcW w:w="1862" w:type="dxa"/>
            <w:tcBorders>
              <w:top w:val="single" w:sz="4" w:space="0" w:color="auto"/>
            </w:tcBorders>
          </w:tcPr>
          <w:p w14:paraId="3A6125F7"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3BFA353F" w14:textId="77777777" w:rsidR="00AE4B92" w:rsidRPr="009620E0" w:rsidRDefault="00AE4B92" w:rsidP="00AE4B92">
            <w:pPr>
              <w:tabs>
                <w:tab w:val="num" w:pos="0"/>
                <w:tab w:val="left" w:pos="9475"/>
              </w:tabs>
              <w:spacing w:before="40" w:after="40" w:line="264" w:lineRule="auto"/>
              <w:ind w:right="119"/>
              <w:jc w:val="right"/>
              <w:rPr>
                <w:rFonts w:ascii="Arial" w:hAnsi="Arial" w:cs="Arial"/>
                <w:b/>
                <w:bCs/>
                <w:i/>
                <w:iCs/>
                <w:sz w:val="20"/>
              </w:rPr>
            </w:pPr>
          </w:p>
        </w:tc>
      </w:tr>
      <w:tr w:rsidR="009620E0" w:rsidRPr="009620E0" w14:paraId="180193CB" w14:textId="77777777" w:rsidTr="00AE4B92">
        <w:trPr>
          <w:trHeight w:val="394"/>
        </w:trPr>
        <w:tc>
          <w:tcPr>
            <w:tcW w:w="4443" w:type="dxa"/>
            <w:tcBorders>
              <w:bottom w:val="nil"/>
            </w:tcBorders>
            <w:vAlign w:val="bottom"/>
          </w:tcPr>
          <w:p w14:paraId="19543877"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Điện tử, máy tính và LK</w:t>
            </w:r>
          </w:p>
        </w:tc>
        <w:tc>
          <w:tcPr>
            <w:tcW w:w="1862" w:type="dxa"/>
            <w:tcBorders>
              <w:bottom w:val="nil"/>
            </w:tcBorders>
            <w:vAlign w:val="bottom"/>
          </w:tcPr>
          <w:p w14:paraId="4F06EFEB"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15.559</w:t>
            </w:r>
          </w:p>
        </w:tc>
        <w:tc>
          <w:tcPr>
            <w:tcW w:w="2722" w:type="dxa"/>
            <w:tcBorders>
              <w:bottom w:val="nil"/>
            </w:tcBorders>
            <w:vAlign w:val="bottom"/>
          </w:tcPr>
          <w:p w14:paraId="582ED72C"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24,4</w:t>
            </w:r>
          </w:p>
        </w:tc>
      </w:tr>
      <w:tr w:rsidR="009620E0" w:rsidRPr="009620E0" w14:paraId="0D8F6948" w14:textId="77777777" w:rsidTr="00AE4B92">
        <w:trPr>
          <w:trHeight w:val="394"/>
        </w:trPr>
        <w:tc>
          <w:tcPr>
            <w:tcW w:w="4443" w:type="dxa"/>
            <w:tcBorders>
              <w:top w:val="nil"/>
              <w:bottom w:val="nil"/>
            </w:tcBorders>
            <w:vAlign w:val="bottom"/>
          </w:tcPr>
          <w:p w14:paraId="0F8FA04D"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Máy móc thiết bị, DC PT khác</w:t>
            </w:r>
          </w:p>
        </w:tc>
        <w:tc>
          <w:tcPr>
            <w:tcW w:w="1862" w:type="dxa"/>
            <w:tcBorders>
              <w:top w:val="nil"/>
              <w:bottom w:val="nil"/>
            </w:tcBorders>
            <w:vAlign w:val="bottom"/>
          </w:tcPr>
          <w:p w14:paraId="14055D60"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6.983</w:t>
            </w:r>
          </w:p>
        </w:tc>
        <w:tc>
          <w:tcPr>
            <w:tcW w:w="2722" w:type="dxa"/>
            <w:tcBorders>
              <w:top w:val="nil"/>
              <w:bottom w:val="nil"/>
            </w:tcBorders>
            <w:vAlign w:val="bottom"/>
          </w:tcPr>
          <w:p w14:paraId="2CDBF694"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24,8</w:t>
            </w:r>
          </w:p>
        </w:tc>
      </w:tr>
      <w:tr w:rsidR="009620E0" w:rsidRPr="009620E0" w14:paraId="31F0D853" w14:textId="77777777" w:rsidTr="00AE4B92">
        <w:trPr>
          <w:trHeight w:val="394"/>
        </w:trPr>
        <w:tc>
          <w:tcPr>
            <w:tcW w:w="4443" w:type="dxa"/>
            <w:tcBorders>
              <w:top w:val="nil"/>
              <w:bottom w:val="nil"/>
            </w:tcBorders>
            <w:vAlign w:val="bottom"/>
          </w:tcPr>
          <w:p w14:paraId="51C696A5"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Vải</w:t>
            </w:r>
          </w:p>
        </w:tc>
        <w:tc>
          <w:tcPr>
            <w:tcW w:w="1862" w:type="dxa"/>
            <w:tcBorders>
              <w:top w:val="nil"/>
              <w:bottom w:val="nil"/>
            </w:tcBorders>
            <w:vAlign w:val="bottom"/>
          </w:tcPr>
          <w:p w14:paraId="4A8E0737"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1.975</w:t>
            </w:r>
          </w:p>
        </w:tc>
        <w:tc>
          <w:tcPr>
            <w:tcW w:w="2722" w:type="dxa"/>
            <w:tcBorders>
              <w:top w:val="nil"/>
              <w:bottom w:val="nil"/>
            </w:tcBorders>
            <w:vAlign w:val="bottom"/>
          </w:tcPr>
          <w:p w14:paraId="45B7A990"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15,4</w:t>
            </w:r>
          </w:p>
        </w:tc>
      </w:tr>
      <w:tr w:rsidR="009620E0" w:rsidRPr="009620E0" w14:paraId="34A52EBE" w14:textId="77777777" w:rsidTr="00AE4B92">
        <w:trPr>
          <w:trHeight w:val="394"/>
        </w:trPr>
        <w:tc>
          <w:tcPr>
            <w:tcW w:w="4443" w:type="dxa"/>
            <w:tcBorders>
              <w:top w:val="nil"/>
              <w:bottom w:val="nil"/>
            </w:tcBorders>
            <w:vAlign w:val="bottom"/>
          </w:tcPr>
          <w:p w14:paraId="7FA7A7EA"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 xml:space="preserve">Sắt thép </w:t>
            </w:r>
          </w:p>
        </w:tc>
        <w:tc>
          <w:tcPr>
            <w:tcW w:w="1862" w:type="dxa"/>
            <w:tcBorders>
              <w:top w:val="nil"/>
              <w:bottom w:val="nil"/>
            </w:tcBorders>
            <w:vAlign w:val="bottom"/>
          </w:tcPr>
          <w:p w14:paraId="5DE1ABF3"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1.952</w:t>
            </w:r>
          </w:p>
        </w:tc>
        <w:tc>
          <w:tcPr>
            <w:tcW w:w="2722" w:type="dxa"/>
            <w:tcBorders>
              <w:top w:val="nil"/>
              <w:bottom w:val="nil"/>
            </w:tcBorders>
            <w:vAlign w:val="bottom"/>
          </w:tcPr>
          <w:p w14:paraId="358E7181"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62,7</w:t>
            </w:r>
          </w:p>
        </w:tc>
      </w:tr>
      <w:tr w:rsidR="009620E0" w:rsidRPr="009620E0" w14:paraId="4C0DEDD0" w14:textId="77777777" w:rsidTr="00AE4B92">
        <w:trPr>
          <w:trHeight w:val="394"/>
        </w:trPr>
        <w:tc>
          <w:tcPr>
            <w:tcW w:w="4443" w:type="dxa"/>
            <w:tcBorders>
              <w:top w:val="nil"/>
              <w:bottom w:val="nil"/>
            </w:tcBorders>
            <w:vAlign w:val="bottom"/>
          </w:tcPr>
          <w:p w14:paraId="3FFEF070"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Dầu thô</w:t>
            </w:r>
          </w:p>
        </w:tc>
        <w:tc>
          <w:tcPr>
            <w:tcW w:w="1862" w:type="dxa"/>
            <w:tcBorders>
              <w:top w:val="nil"/>
              <w:bottom w:val="nil"/>
            </w:tcBorders>
            <w:vAlign w:val="bottom"/>
          </w:tcPr>
          <w:p w14:paraId="325AC21E"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1.588</w:t>
            </w:r>
          </w:p>
        </w:tc>
        <w:tc>
          <w:tcPr>
            <w:tcW w:w="2722" w:type="dxa"/>
            <w:tcBorders>
              <w:top w:val="nil"/>
              <w:bottom w:val="nil"/>
            </w:tcBorders>
            <w:vAlign w:val="bottom"/>
          </w:tcPr>
          <w:p w14:paraId="5ED5D309"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27,5</w:t>
            </w:r>
          </w:p>
        </w:tc>
      </w:tr>
      <w:tr w:rsidR="009620E0" w:rsidRPr="009620E0" w14:paraId="0B21E59B" w14:textId="77777777" w:rsidTr="00AE4B92">
        <w:trPr>
          <w:trHeight w:val="394"/>
        </w:trPr>
        <w:tc>
          <w:tcPr>
            <w:tcW w:w="4443" w:type="dxa"/>
            <w:tcBorders>
              <w:top w:val="nil"/>
              <w:bottom w:val="nil"/>
            </w:tcBorders>
            <w:vAlign w:val="bottom"/>
          </w:tcPr>
          <w:p w14:paraId="4D6933D5"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 xml:space="preserve">Chất dẻo </w:t>
            </w:r>
          </w:p>
        </w:tc>
        <w:tc>
          <w:tcPr>
            <w:tcW w:w="1862" w:type="dxa"/>
            <w:tcBorders>
              <w:top w:val="nil"/>
              <w:bottom w:val="nil"/>
            </w:tcBorders>
            <w:vAlign w:val="bottom"/>
          </w:tcPr>
          <w:p w14:paraId="57F6421A"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1.557</w:t>
            </w:r>
          </w:p>
        </w:tc>
        <w:tc>
          <w:tcPr>
            <w:tcW w:w="2722" w:type="dxa"/>
            <w:tcBorders>
              <w:top w:val="nil"/>
              <w:bottom w:val="nil"/>
            </w:tcBorders>
            <w:vAlign w:val="bottom"/>
          </w:tcPr>
          <w:p w14:paraId="1D52C37A"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13,2</w:t>
            </w:r>
          </w:p>
        </w:tc>
      </w:tr>
      <w:tr w:rsidR="009620E0" w:rsidRPr="009620E0" w14:paraId="31F4A4F0" w14:textId="77777777" w:rsidTr="00AE4B92">
        <w:trPr>
          <w:trHeight w:val="394"/>
        </w:trPr>
        <w:tc>
          <w:tcPr>
            <w:tcW w:w="4443" w:type="dxa"/>
            <w:tcBorders>
              <w:top w:val="nil"/>
              <w:bottom w:val="nil"/>
            </w:tcBorders>
            <w:vAlign w:val="bottom"/>
          </w:tcPr>
          <w:p w14:paraId="2E722D52"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Điện thoại và linh kiện</w:t>
            </w:r>
          </w:p>
        </w:tc>
        <w:tc>
          <w:tcPr>
            <w:tcW w:w="1862" w:type="dxa"/>
            <w:tcBorders>
              <w:top w:val="nil"/>
              <w:bottom w:val="nil"/>
            </w:tcBorders>
            <w:vAlign w:val="bottom"/>
          </w:tcPr>
          <w:p w14:paraId="6D417D9A"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1.553</w:t>
            </w:r>
          </w:p>
        </w:tc>
        <w:tc>
          <w:tcPr>
            <w:tcW w:w="2722" w:type="dxa"/>
            <w:tcBorders>
              <w:top w:val="nil"/>
              <w:bottom w:val="nil"/>
            </w:tcBorders>
            <w:vAlign w:val="bottom"/>
          </w:tcPr>
          <w:p w14:paraId="047C5C7C"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17,7</w:t>
            </w:r>
          </w:p>
        </w:tc>
      </w:tr>
      <w:tr w:rsidR="009620E0" w:rsidRPr="009620E0" w14:paraId="5ECE9D58" w14:textId="77777777" w:rsidTr="00AE4B92">
        <w:trPr>
          <w:trHeight w:val="394"/>
        </w:trPr>
        <w:tc>
          <w:tcPr>
            <w:tcW w:w="4443" w:type="dxa"/>
            <w:tcBorders>
              <w:top w:val="nil"/>
              <w:bottom w:val="nil"/>
            </w:tcBorders>
            <w:vAlign w:val="bottom"/>
          </w:tcPr>
          <w:p w14:paraId="11686541"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Kim loại thường khác</w:t>
            </w:r>
          </w:p>
        </w:tc>
        <w:tc>
          <w:tcPr>
            <w:tcW w:w="1862" w:type="dxa"/>
            <w:tcBorders>
              <w:top w:val="nil"/>
              <w:bottom w:val="nil"/>
            </w:tcBorders>
            <w:vAlign w:val="bottom"/>
          </w:tcPr>
          <w:p w14:paraId="6D012ED3"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1.387</w:t>
            </w:r>
          </w:p>
        </w:tc>
        <w:tc>
          <w:tcPr>
            <w:tcW w:w="2722" w:type="dxa"/>
            <w:tcBorders>
              <w:top w:val="nil"/>
              <w:bottom w:val="nil"/>
            </w:tcBorders>
            <w:vAlign w:val="bottom"/>
          </w:tcPr>
          <w:p w14:paraId="616E480A"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19,1</w:t>
            </w:r>
          </w:p>
        </w:tc>
      </w:tr>
      <w:tr w:rsidR="009620E0" w:rsidRPr="009620E0" w14:paraId="025CA6C1" w14:textId="77777777" w:rsidTr="00AE4B92">
        <w:trPr>
          <w:trHeight w:val="394"/>
        </w:trPr>
        <w:tc>
          <w:tcPr>
            <w:tcW w:w="4443" w:type="dxa"/>
            <w:tcBorders>
              <w:top w:val="nil"/>
              <w:bottom w:val="nil"/>
            </w:tcBorders>
            <w:vAlign w:val="bottom"/>
          </w:tcPr>
          <w:p w14:paraId="37772085"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Sản phẩm chất dẻo</w:t>
            </w:r>
          </w:p>
        </w:tc>
        <w:tc>
          <w:tcPr>
            <w:tcW w:w="1862" w:type="dxa"/>
            <w:tcBorders>
              <w:top w:val="nil"/>
              <w:bottom w:val="nil"/>
            </w:tcBorders>
            <w:vAlign w:val="bottom"/>
          </w:tcPr>
          <w:p w14:paraId="70276934"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1.339</w:t>
            </w:r>
          </w:p>
        </w:tc>
        <w:tc>
          <w:tcPr>
            <w:tcW w:w="2722" w:type="dxa"/>
            <w:tcBorders>
              <w:top w:val="nil"/>
              <w:bottom w:val="nil"/>
            </w:tcBorders>
            <w:vAlign w:val="bottom"/>
          </w:tcPr>
          <w:p w14:paraId="32FBD665"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32,1</w:t>
            </w:r>
          </w:p>
        </w:tc>
      </w:tr>
      <w:tr w:rsidR="009620E0" w:rsidRPr="009620E0" w14:paraId="5FA9AE9C" w14:textId="77777777" w:rsidTr="00AE4B92">
        <w:trPr>
          <w:trHeight w:val="394"/>
        </w:trPr>
        <w:tc>
          <w:tcPr>
            <w:tcW w:w="4443" w:type="dxa"/>
            <w:tcBorders>
              <w:top w:val="nil"/>
              <w:bottom w:val="nil"/>
            </w:tcBorders>
            <w:vAlign w:val="bottom"/>
          </w:tcPr>
          <w:p w14:paraId="3775E739"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Xăng dầu</w:t>
            </w:r>
          </w:p>
        </w:tc>
        <w:tc>
          <w:tcPr>
            <w:tcW w:w="1862" w:type="dxa"/>
            <w:tcBorders>
              <w:top w:val="nil"/>
              <w:bottom w:val="nil"/>
            </w:tcBorders>
            <w:vAlign w:val="bottom"/>
          </w:tcPr>
          <w:p w14:paraId="41343686"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1.328</w:t>
            </w:r>
          </w:p>
        </w:tc>
        <w:tc>
          <w:tcPr>
            <w:tcW w:w="2722" w:type="dxa"/>
            <w:tcBorders>
              <w:top w:val="nil"/>
              <w:bottom w:val="nil"/>
            </w:tcBorders>
            <w:vAlign w:val="bottom"/>
          </w:tcPr>
          <w:p w14:paraId="0B1C81BC"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-18,5</w:t>
            </w:r>
          </w:p>
        </w:tc>
      </w:tr>
      <w:tr w:rsidR="009620E0" w:rsidRPr="009620E0" w14:paraId="2BDC159C" w14:textId="77777777" w:rsidTr="00AE4B92">
        <w:trPr>
          <w:trHeight w:val="394"/>
        </w:trPr>
        <w:tc>
          <w:tcPr>
            <w:tcW w:w="4443" w:type="dxa"/>
            <w:tcBorders>
              <w:top w:val="nil"/>
              <w:bottom w:val="nil"/>
            </w:tcBorders>
            <w:vAlign w:val="bottom"/>
          </w:tcPr>
          <w:p w14:paraId="0B9C820C"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Than đá</w:t>
            </w:r>
          </w:p>
        </w:tc>
        <w:tc>
          <w:tcPr>
            <w:tcW w:w="1862" w:type="dxa"/>
            <w:tcBorders>
              <w:top w:val="nil"/>
              <w:bottom w:val="nil"/>
            </w:tcBorders>
            <w:vAlign w:val="bottom"/>
          </w:tcPr>
          <w:p w14:paraId="0E35C501"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1.328</w:t>
            </w:r>
          </w:p>
        </w:tc>
        <w:tc>
          <w:tcPr>
            <w:tcW w:w="2722" w:type="dxa"/>
            <w:tcBorders>
              <w:top w:val="nil"/>
              <w:bottom w:val="nil"/>
            </w:tcBorders>
            <w:vAlign w:val="bottom"/>
          </w:tcPr>
          <w:p w14:paraId="3FD36525"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66,1</w:t>
            </w:r>
          </w:p>
        </w:tc>
      </w:tr>
      <w:tr w:rsidR="009620E0" w:rsidRPr="009620E0" w14:paraId="6D51E528" w14:textId="77777777" w:rsidTr="00AE4B92">
        <w:trPr>
          <w:trHeight w:val="394"/>
        </w:trPr>
        <w:tc>
          <w:tcPr>
            <w:tcW w:w="4443" w:type="dxa"/>
            <w:tcBorders>
              <w:top w:val="nil"/>
              <w:bottom w:val="nil"/>
            </w:tcBorders>
            <w:vAlign w:val="bottom"/>
          </w:tcPr>
          <w:p w14:paraId="3535BAFE"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 xml:space="preserve">Hóa chất </w:t>
            </w:r>
          </w:p>
        </w:tc>
        <w:tc>
          <w:tcPr>
            <w:tcW w:w="1862" w:type="dxa"/>
            <w:tcBorders>
              <w:top w:val="nil"/>
              <w:bottom w:val="nil"/>
            </w:tcBorders>
            <w:vAlign w:val="bottom"/>
          </w:tcPr>
          <w:p w14:paraId="69537A63"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1.179</w:t>
            </w:r>
          </w:p>
        </w:tc>
        <w:tc>
          <w:tcPr>
            <w:tcW w:w="2722" w:type="dxa"/>
            <w:tcBorders>
              <w:top w:val="nil"/>
              <w:bottom w:val="nil"/>
            </w:tcBorders>
            <w:vAlign w:val="bottom"/>
          </w:tcPr>
          <w:p w14:paraId="428B192F"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10,4</w:t>
            </w:r>
          </w:p>
        </w:tc>
      </w:tr>
      <w:tr w:rsidR="00AE4B92" w:rsidRPr="009620E0" w14:paraId="404EBD49" w14:textId="77777777" w:rsidTr="00AE4B92">
        <w:trPr>
          <w:trHeight w:val="394"/>
        </w:trPr>
        <w:tc>
          <w:tcPr>
            <w:tcW w:w="4443" w:type="dxa"/>
            <w:tcBorders>
              <w:top w:val="nil"/>
              <w:bottom w:val="single" w:sz="4" w:space="0" w:color="auto"/>
            </w:tcBorders>
            <w:vAlign w:val="bottom"/>
          </w:tcPr>
          <w:p w14:paraId="79D11B80" w14:textId="77777777" w:rsidR="00AE4B92" w:rsidRPr="009620E0" w:rsidRDefault="00AE4B92" w:rsidP="00AE4B92">
            <w:pPr>
              <w:spacing w:before="40" w:after="40" w:line="264" w:lineRule="auto"/>
              <w:ind w:firstLine="171"/>
              <w:rPr>
                <w:rFonts w:ascii="Arial" w:hAnsi="Arial" w:cs="Arial"/>
                <w:sz w:val="20"/>
                <w:szCs w:val="20"/>
              </w:rPr>
            </w:pPr>
            <w:r w:rsidRPr="009620E0">
              <w:rPr>
                <w:rFonts w:ascii="Arial" w:hAnsi="Arial" w:cs="Arial"/>
                <w:sz w:val="20"/>
                <w:szCs w:val="20"/>
              </w:rPr>
              <w:t>Sản phẩm hoá chất</w:t>
            </w:r>
          </w:p>
        </w:tc>
        <w:tc>
          <w:tcPr>
            <w:tcW w:w="1862" w:type="dxa"/>
            <w:tcBorders>
              <w:top w:val="nil"/>
              <w:bottom w:val="single" w:sz="4" w:space="0" w:color="auto"/>
            </w:tcBorders>
            <w:vAlign w:val="bottom"/>
          </w:tcPr>
          <w:p w14:paraId="6618F3F6" w14:textId="77777777" w:rsidR="00AE4B92" w:rsidRPr="009620E0" w:rsidRDefault="00AE4B92" w:rsidP="00AE4B92">
            <w:pPr>
              <w:spacing w:before="40" w:after="40" w:line="264" w:lineRule="auto"/>
              <w:ind w:right="465" w:firstLine="170"/>
              <w:jc w:val="right"/>
              <w:rPr>
                <w:rFonts w:ascii="Arial" w:hAnsi="Arial" w:cs="Arial"/>
                <w:sz w:val="20"/>
                <w:szCs w:val="20"/>
              </w:rPr>
            </w:pPr>
            <w:r w:rsidRPr="009620E0">
              <w:rPr>
                <w:rFonts w:ascii="Arial" w:hAnsi="Arial" w:cs="Arial"/>
                <w:sz w:val="20"/>
                <w:szCs w:val="20"/>
              </w:rPr>
              <w:t>1.070</w:t>
            </w:r>
          </w:p>
        </w:tc>
        <w:tc>
          <w:tcPr>
            <w:tcW w:w="2722" w:type="dxa"/>
            <w:tcBorders>
              <w:top w:val="nil"/>
              <w:bottom w:val="single" w:sz="4" w:space="0" w:color="auto"/>
            </w:tcBorders>
            <w:vAlign w:val="bottom"/>
          </w:tcPr>
          <w:p w14:paraId="665404F3" w14:textId="77777777" w:rsidR="00AE4B92" w:rsidRPr="009620E0" w:rsidRDefault="00AE4B92" w:rsidP="00AE4B92">
            <w:pPr>
              <w:spacing w:before="40" w:after="40" w:line="264" w:lineRule="auto"/>
              <w:ind w:right="1023" w:firstLine="170"/>
              <w:jc w:val="right"/>
              <w:rPr>
                <w:rFonts w:ascii="Arial" w:hAnsi="Arial" w:cs="Arial"/>
                <w:sz w:val="20"/>
                <w:szCs w:val="20"/>
              </w:rPr>
            </w:pPr>
            <w:r w:rsidRPr="009620E0">
              <w:rPr>
                <w:rFonts w:ascii="Arial" w:hAnsi="Arial" w:cs="Arial"/>
                <w:sz w:val="20"/>
                <w:szCs w:val="20"/>
              </w:rPr>
              <w:t>-0,1</w:t>
            </w:r>
          </w:p>
        </w:tc>
      </w:tr>
    </w:tbl>
    <w:p w14:paraId="27C07FA6" w14:textId="77777777" w:rsidR="00AE4B92" w:rsidRPr="009620E0" w:rsidRDefault="00AE4B92" w:rsidP="00AE4B92">
      <w:pPr>
        <w:tabs>
          <w:tab w:val="num" w:pos="0"/>
          <w:tab w:val="left" w:pos="9475"/>
        </w:tabs>
        <w:spacing w:before="40" w:after="40" w:line="264" w:lineRule="auto"/>
        <w:ind w:right="187" w:firstLine="567"/>
        <w:jc w:val="right"/>
        <w:rPr>
          <w:rFonts w:ascii="Arial" w:hAnsi="Arial" w:cs="Arial"/>
          <w:b/>
          <w:bCs/>
          <w:i/>
          <w:iCs/>
          <w:sz w:val="2"/>
          <w:szCs w:val="20"/>
        </w:rPr>
      </w:pPr>
    </w:p>
    <w:p w14:paraId="1EEDCCE3" w14:textId="77777777" w:rsidR="00AE4B92" w:rsidRPr="009620E0" w:rsidRDefault="00AE4B92" w:rsidP="00AE4B92">
      <w:pPr>
        <w:tabs>
          <w:tab w:val="num" w:pos="0"/>
          <w:tab w:val="left" w:pos="9475"/>
        </w:tabs>
        <w:spacing w:before="120" w:after="40" w:line="254" w:lineRule="auto"/>
        <w:jc w:val="both"/>
        <w:rPr>
          <w:rFonts w:eastAsia="Batang"/>
          <w:bCs/>
          <w:iCs/>
        </w:rPr>
      </w:pPr>
      <w:r w:rsidRPr="009620E0">
        <w:rPr>
          <w:noProof/>
          <w:spacing w:val="2"/>
        </w:rPr>
        <mc:AlternateContent>
          <mc:Choice Requires="wps">
            <w:drawing>
              <wp:anchor distT="0" distB="0" distL="114300" distR="114300" simplePos="0" relativeHeight="251665920" behindDoc="0" locked="0" layoutInCell="1" allowOverlap="1" wp14:anchorId="12028101" wp14:editId="051BCD8C">
                <wp:simplePos x="0" y="0"/>
                <wp:positionH relativeFrom="column">
                  <wp:posOffset>87630</wp:posOffset>
                </wp:positionH>
                <wp:positionV relativeFrom="paragraph">
                  <wp:posOffset>121920</wp:posOffset>
                </wp:positionV>
                <wp:extent cx="3540125" cy="2610485"/>
                <wp:effectExtent l="0" t="0" r="317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2610485"/>
                        </a:xfrm>
                        <a:prstGeom prst="rect">
                          <a:avLst/>
                        </a:prstGeom>
                        <a:solidFill>
                          <a:srgbClr val="FFFFFF"/>
                        </a:solidFill>
                        <a:ln w="9525">
                          <a:noFill/>
                          <a:miter lim="800000"/>
                          <a:headEnd/>
                          <a:tailEnd/>
                        </a:ln>
                      </wps:spPr>
                      <wps:txbx>
                        <w:txbxContent>
                          <w:p w14:paraId="12A1F378" w14:textId="77777777" w:rsidR="00F855C2" w:rsidRPr="005C7C96" w:rsidRDefault="00F855C2" w:rsidP="00AE4B92">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6A05F671" w14:textId="77777777" w:rsidR="00F855C2" w:rsidRDefault="00F855C2" w:rsidP="00AE4B92">
                            <w:pPr>
                              <w:spacing w:after="120"/>
                              <w:ind w:left="-142"/>
                              <w:jc w:val="center"/>
                              <w:rPr>
                                <w:rFonts w:ascii="Arial" w:hAnsi="Arial" w:cs="Arial"/>
                                <w:b/>
                                <w:bCs/>
                                <w:sz w:val="24"/>
                                <w:szCs w:val="24"/>
                              </w:rPr>
                            </w:pPr>
                            <w:r w:rsidRPr="003F201F">
                              <w:rPr>
                                <w:rFonts w:ascii="Arial" w:hAnsi="Arial" w:cs="Arial"/>
                                <w:b/>
                                <w:bCs/>
                                <w:sz w:val="24"/>
                                <w:szCs w:val="24"/>
                              </w:rPr>
                              <w:t>2 tháng đầu năm 2024</w:t>
                            </w:r>
                          </w:p>
                          <w:p w14:paraId="01CC4192" w14:textId="77777777" w:rsidR="00F855C2" w:rsidRPr="00F66505" w:rsidRDefault="00F855C2" w:rsidP="00AE4B92">
                            <w:pPr>
                              <w:ind w:left="-284"/>
                              <w:jc w:val="center"/>
                              <w:rPr>
                                <w:rFonts w:ascii="Arial" w:hAnsi="Arial" w:cs="Arial"/>
                                <w:b/>
                                <w:bCs/>
                                <w:sz w:val="14"/>
                                <w:szCs w:val="24"/>
                              </w:rPr>
                            </w:pPr>
                            <w:r w:rsidRPr="003F201F">
                              <w:rPr>
                                <w:noProof/>
                              </w:rPr>
                              <w:drawing>
                                <wp:inline distT="0" distB="0" distL="0" distR="0" wp14:anchorId="49DCAAF8" wp14:editId="3197BD3E">
                                  <wp:extent cx="3071738" cy="2031320"/>
                                  <wp:effectExtent l="0" t="0" r="0" b="762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926" cy="20367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8101" id="_x0000_s1027" type="#_x0000_t202" style="position:absolute;left:0;text-align:left;margin-left:6.9pt;margin-top:9.6pt;width:278.75pt;height:205.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AUIgIAACQ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" stroked="f">
                <v:textbox>
                  <w:txbxContent>
                    <w:p w14:paraId="12A1F378" w14:textId="77777777" w:rsidR="00F855C2" w:rsidRPr="005C7C96" w:rsidRDefault="00F855C2" w:rsidP="00AE4B92">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6A05F671" w14:textId="77777777" w:rsidR="00F855C2" w:rsidRDefault="00F855C2" w:rsidP="00AE4B92">
                      <w:pPr>
                        <w:spacing w:after="120"/>
                        <w:ind w:left="-142"/>
                        <w:jc w:val="center"/>
                        <w:rPr>
                          <w:rFonts w:ascii="Arial" w:hAnsi="Arial" w:cs="Arial"/>
                          <w:b/>
                          <w:bCs/>
                          <w:sz w:val="24"/>
                          <w:szCs w:val="24"/>
                        </w:rPr>
                      </w:pPr>
                      <w:r w:rsidRPr="003F201F">
                        <w:rPr>
                          <w:rFonts w:ascii="Arial" w:hAnsi="Arial" w:cs="Arial"/>
                          <w:b/>
                          <w:bCs/>
                          <w:sz w:val="24"/>
                          <w:szCs w:val="24"/>
                        </w:rPr>
                        <w:t>2 tháng đầu năm 2024</w:t>
                      </w:r>
                    </w:p>
                    <w:p w14:paraId="01CC4192" w14:textId="77777777" w:rsidR="00F855C2" w:rsidRPr="00F66505" w:rsidRDefault="00F855C2" w:rsidP="00AE4B92">
                      <w:pPr>
                        <w:ind w:left="-284"/>
                        <w:jc w:val="center"/>
                        <w:rPr>
                          <w:rFonts w:ascii="Arial" w:hAnsi="Arial" w:cs="Arial"/>
                          <w:b/>
                          <w:bCs/>
                          <w:sz w:val="14"/>
                          <w:szCs w:val="24"/>
                        </w:rPr>
                      </w:pPr>
                      <w:r w:rsidRPr="003F201F">
                        <w:rPr>
                          <w:noProof/>
                        </w:rPr>
                        <w:drawing>
                          <wp:inline distT="0" distB="0" distL="0" distR="0" wp14:anchorId="49DCAAF8" wp14:editId="3197BD3E">
                            <wp:extent cx="3071738" cy="2031320"/>
                            <wp:effectExtent l="0" t="0" r="0" b="762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926" cy="2036735"/>
                                    </a:xfrm>
                                    <a:prstGeom prst="rect">
                                      <a:avLst/>
                                    </a:prstGeom>
                                    <a:noFill/>
                                    <a:ln>
                                      <a:noFill/>
                                    </a:ln>
                                  </pic:spPr>
                                </pic:pic>
                              </a:graphicData>
                            </a:graphic>
                          </wp:inline>
                        </w:drawing>
                      </w:r>
                    </w:p>
                  </w:txbxContent>
                </v:textbox>
                <w10:wrap type="square"/>
              </v:shape>
            </w:pict>
          </mc:Fallback>
        </mc:AlternateContent>
      </w:r>
      <w:r w:rsidRPr="009620E0">
        <w:rPr>
          <w:rFonts w:eastAsia="Batang"/>
          <w:i/>
          <w:iCs/>
        </w:rPr>
        <w:t xml:space="preserve">Về cơ cấu nhóm hàng nhập khẩu 2 tháng đầu năm 2024, </w:t>
      </w:r>
      <w:r w:rsidRPr="009620E0">
        <w:rPr>
          <w:rFonts w:eastAsia="Batang"/>
          <w:bCs/>
          <w:iCs/>
        </w:rPr>
        <w:t>nhóm hàng tư liệu sản xuất ước đạt 51,47 tỷ USD, chiếm 94,2%, trong đó nhóm hàng máy móc thiết bị, dụng cụ phụ tùng chiếm 47%; nhóm hàng nguyên, nhiên, vật liệu chiếm 47,2%.</w:t>
      </w:r>
      <w:r w:rsidRPr="009620E0">
        <w:rPr>
          <w:rFonts w:eastAsia="Batang"/>
          <w:iCs/>
        </w:rPr>
        <w:t xml:space="preserve"> Nhóm h</w:t>
      </w:r>
      <w:r w:rsidRPr="009620E0">
        <w:rPr>
          <w:rFonts w:eastAsia="Batang"/>
          <w:bCs/>
          <w:iCs/>
        </w:rPr>
        <w:t>àng vật phẩm tiêu dùng ước đạt 3,15 tỷ USD, chiếm 5,8%.</w:t>
      </w:r>
    </w:p>
    <w:p w14:paraId="23D9E22E" w14:textId="77777777" w:rsidR="00AE4B92" w:rsidRPr="009620E0" w:rsidRDefault="00AE4B92" w:rsidP="00AE4B92">
      <w:pPr>
        <w:tabs>
          <w:tab w:val="num" w:pos="0"/>
          <w:tab w:val="left" w:pos="9475"/>
        </w:tabs>
        <w:spacing w:before="40" w:after="40" w:line="254" w:lineRule="auto"/>
        <w:jc w:val="both"/>
        <w:rPr>
          <w:rFonts w:eastAsia="Batang"/>
          <w:sz w:val="16"/>
          <w:szCs w:val="16"/>
        </w:rPr>
      </w:pPr>
    </w:p>
    <w:p w14:paraId="56622116" w14:textId="77777777" w:rsidR="00A20988" w:rsidRPr="009620E0" w:rsidRDefault="00A20988" w:rsidP="00AE4B92">
      <w:pPr>
        <w:tabs>
          <w:tab w:val="num" w:pos="0"/>
          <w:tab w:val="left" w:pos="9475"/>
        </w:tabs>
        <w:spacing w:after="120" w:line="288" w:lineRule="auto"/>
        <w:ind w:firstLine="567"/>
        <w:jc w:val="both"/>
        <w:rPr>
          <w:bCs/>
          <w:i/>
          <w:spacing w:val="-2"/>
        </w:rPr>
      </w:pPr>
    </w:p>
    <w:p w14:paraId="39084187" w14:textId="77777777" w:rsidR="00A20988" w:rsidRPr="009620E0" w:rsidRDefault="00A20988" w:rsidP="00AE4B92">
      <w:pPr>
        <w:tabs>
          <w:tab w:val="num" w:pos="0"/>
          <w:tab w:val="left" w:pos="9475"/>
        </w:tabs>
        <w:spacing w:after="120" w:line="288" w:lineRule="auto"/>
        <w:ind w:firstLine="567"/>
        <w:jc w:val="both"/>
        <w:rPr>
          <w:bCs/>
          <w:i/>
          <w:spacing w:val="-2"/>
        </w:rPr>
      </w:pPr>
    </w:p>
    <w:p w14:paraId="78C6BDA6" w14:textId="0D9C1CC4" w:rsidR="00AE4B92" w:rsidRPr="009620E0" w:rsidRDefault="00AE4B92" w:rsidP="00AE4B92">
      <w:pPr>
        <w:tabs>
          <w:tab w:val="num" w:pos="0"/>
          <w:tab w:val="left" w:pos="9475"/>
        </w:tabs>
        <w:spacing w:after="120" w:line="288" w:lineRule="auto"/>
        <w:ind w:firstLine="567"/>
        <w:jc w:val="both"/>
        <w:rPr>
          <w:iCs/>
          <w:spacing w:val="-2"/>
        </w:rPr>
      </w:pPr>
      <w:r w:rsidRPr="009620E0">
        <w:rPr>
          <w:bCs/>
          <w:i/>
          <w:spacing w:val="-2"/>
        </w:rPr>
        <w:lastRenderedPageBreak/>
        <w:t>Về thị trường xuất, nhập khẩu hàng hóa 2 tháng đầu năm 2024,</w:t>
      </w:r>
      <w:r w:rsidRPr="009620E0">
        <w:rPr>
          <w:bCs/>
          <w:iCs/>
          <w:spacing w:val="-2"/>
        </w:rPr>
        <w:t xml:space="preserve"> Hoa Kỳ là thị trường xuất khẩu lớn nhất của Việt Nam với kim ngạch ước đạt 17,4 tỷ USD. </w:t>
      </w:r>
      <w:r w:rsidRPr="009620E0">
        <w:rPr>
          <w:iCs/>
          <w:spacing w:val="-2"/>
        </w:rPr>
        <w:t>Trung Quốc là thị trường nhập khẩu lớn nhất của Việt Nam với kim ngạch ước đạt 20,9 tỷ USD. Trong 2 tháng đầu năm 2024, xuất siêu sang Hoa Kỳ ước đạt 15,2 tỷ USD tăng 36,6% so với cùng kỳ năm trước; xuất siêu sang EU ước đạt 5,3 tỷ USD, tăng 13,9%; xuất siêu sang Nhật Bản 0,4 tỷ USD (cùng kỳ năm trước nhập siêu 0,2 tỷ USD); nhập siêu từ Trung Quốc 12,8 tỷ USD, tăng 98,2%; nhập siêu từ Hàn Quốc 3,7 tỷ USD, giảm 4,3%; nhập siêu từ ASEAN 1 tỷ USD, giảm 21,9%.</w:t>
      </w:r>
    </w:p>
    <w:p w14:paraId="7B667952" w14:textId="77777777" w:rsidR="00AE4B92" w:rsidRPr="009620E0" w:rsidRDefault="00AE4B92" w:rsidP="00AE4B92">
      <w:pPr>
        <w:tabs>
          <w:tab w:val="num" w:pos="0"/>
          <w:tab w:val="left" w:pos="9475"/>
        </w:tabs>
        <w:spacing w:before="40" w:after="40" w:line="264" w:lineRule="auto"/>
        <w:ind w:right="6"/>
        <w:jc w:val="center"/>
        <w:rPr>
          <w:rFonts w:ascii="Arial" w:hAnsi="Arial" w:cs="Arial"/>
          <w:b/>
          <w:iCs/>
          <w:sz w:val="6"/>
        </w:rPr>
      </w:pPr>
    </w:p>
    <w:p w14:paraId="25492DE9" w14:textId="77777777" w:rsidR="00AE4B92" w:rsidRPr="009620E0" w:rsidRDefault="00AE4B92" w:rsidP="00AE4B92">
      <w:pPr>
        <w:tabs>
          <w:tab w:val="num" w:pos="0"/>
          <w:tab w:val="left" w:pos="9475"/>
        </w:tabs>
        <w:spacing w:before="40" w:after="40" w:line="264" w:lineRule="auto"/>
        <w:ind w:right="6"/>
        <w:jc w:val="center"/>
        <w:rPr>
          <w:rFonts w:ascii="Arial" w:hAnsi="Arial" w:cs="Arial"/>
          <w:b/>
          <w:iCs/>
          <w:sz w:val="24"/>
        </w:rPr>
      </w:pPr>
      <w:r w:rsidRPr="009620E0">
        <w:rPr>
          <w:rFonts w:ascii="Arial" w:hAnsi="Arial" w:cs="Arial"/>
          <w:b/>
          <w:iCs/>
          <w:sz w:val="24"/>
        </w:rPr>
        <w:t>Hình 15. Thị trường xuất, nhập khẩu hàng hoá chủ yếu 2 tháng đầu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9620E0" w:rsidRPr="009620E0" w14:paraId="1B7AE239" w14:textId="77777777" w:rsidTr="00AE4B92">
        <w:trPr>
          <w:trHeight w:val="3151"/>
          <w:jc w:val="center"/>
        </w:trPr>
        <w:tc>
          <w:tcPr>
            <w:tcW w:w="4675" w:type="dxa"/>
            <w:gridSpan w:val="3"/>
          </w:tcPr>
          <w:p w14:paraId="03730583" w14:textId="77777777" w:rsidR="00AE4B92" w:rsidRPr="009620E0" w:rsidRDefault="00AE4B92" w:rsidP="00AE4B92">
            <w:pPr>
              <w:tabs>
                <w:tab w:val="num" w:pos="0"/>
                <w:tab w:val="left" w:pos="9475"/>
              </w:tabs>
              <w:spacing w:before="40" w:after="40" w:line="264" w:lineRule="auto"/>
              <w:ind w:right="-118"/>
              <w:jc w:val="both"/>
              <w:rPr>
                <w:iCs/>
              </w:rPr>
            </w:pPr>
            <w:r w:rsidRPr="009620E0">
              <w:rPr>
                <w:noProof/>
              </w:rPr>
              <w:drawing>
                <wp:inline distT="0" distB="0" distL="0" distR="0" wp14:anchorId="16A92098" wp14:editId="71542B8D">
                  <wp:extent cx="2933700" cy="2256790"/>
                  <wp:effectExtent l="0" t="0" r="0" b="10160"/>
                  <wp:docPr id="2044717203"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shd w:val="clear" w:color="auto" w:fill="auto"/>
          </w:tcPr>
          <w:p w14:paraId="6EA7191A" w14:textId="77777777" w:rsidR="00AE4B92" w:rsidRPr="009620E0" w:rsidRDefault="00AE4B92" w:rsidP="00AE4B92">
            <w:pPr>
              <w:tabs>
                <w:tab w:val="num" w:pos="0"/>
                <w:tab w:val="left" w:pos="9475"/>
              </w:tabs>
              <w:spacing w:before="40" w:after="40" w:line="264" w:lineRule="auto"/>
              <w:ind w:right="6" w:hanging="107"/>
              <w:jc w:val="both"/>
              <w:rPr>
                <w:iCs/>
              </w:rPr>
            </w:pPr>
            <w:r w:rsidRPr="009620E0">
              <w:rPr>
                <w:noProof/>
              </w:rPr>
              <w:drawing>
                <wp:inline distT="0" distB="0" distL="0" distR="0" wp14:anchorId="4517B33D" wp14:editId="3943FE1B">
                  <wp:extent cx="2922270" cy="2256790"/>
                  <wp:effectExtent l="0" t="0" r="11430" b="10160"/>
                  <wp:docPr id="986264296"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620E0" w:rsidRPr="009620E0" w14:paraId="52B3F302" w14:textId="77777777" w:rsidTr="00AE4B92">
        <w:trPr>
          <w:gridAfter w:val="1"/>
          <w:wAfter w:w="532" w:type="dxa"/>
          <w:trHeight w:val="176"/>
          <w:jc w:val="center"/>
        </w:trPr>
        <w:tc>
          <w:tcPr>
            <w:tcW w:w="1791" w:type="dxa"/>
          </w:tcPr>
          <w:p w14:paraId="54456E36" w14:textId="77777777" w:rsidR="00AE4B92" w:rsidRPr="009620E0" w:rsidRDefault="00AE4B92" w:rsidP="00AE4B92">
            <w:pPr>
              <w:spacing w:before="40" w:after="40" w:line="264" w:lineRule="auto"/>
              <w:jc w:val="both"/>
              <w:rPr>
                <w:b/>
                <w:bCs/>
                <w:i/>
                <w:iCs/>
              </w:rPr>
            </w:pPr>
          </w:p>
        </w:tc>
        <w:tc>
          <w:tcPr>
            <w:tcW w:w="619" w:type="dxa"/>
            <w:shd w:val="clear" w:color="auto" w:fill="auto"/>
          </w:tcPr>
          <w:p w14:paraId="06A1EEBA" w14:textId="77777777" w:rsidR="00AE4B92" w:rsidRPr="009620E0" w:rsidRDefault="00AE4B92" w:rsidP="00AE4B92">
            <w:pPr>
              <w:spacing w:before="40" w:after="40" w:line="264" w:lineRule="auto"/>
              <w:jc w:val="both"/>
              <w:rPr>
                <w:b/>
                <w:bCs/>
                <w:i/>
                <w:iCs/>
              </w:rPr>
            </w:pPr>
          </w:p>
        </w:tc>
        <w:tc>
          <w:tcPr>
            <w:tcW w:w="2265" w:type="dxa"/>
          </w:tcPr>
          <w:p w14:paraId="0D5018A2" w14:textId="77777777" w:rsidR="00AE4B92" w:rsidRPr="009620E0" w:rsidRDefault="00AE4B92" w:rsidP="00AE4B92">
            <w:pPr>
              <w:spacing w:before="40" w:after="40" w:line="264" w:lineRule="auto"/>
              <w:jc w:val="both"/>
              <w:rPr>
                <w:b/>
                <w:bCs/>
                <w:i/>
                <w:iCs/>
              </w:rPr>
            </w:pPr>
            <w:r w:rsidRPr="009620E0">
              <w:rPr>
                <w:noProof/>
              </w:rPr>
              <mc:AlternateContent>
                <mc:Choice Requires="wps">
                  <w:drawing>
                    <wp:anchor distT="0" distB="0" distL="114300" distR="114300" simplePos="0" relativeHeight="251662848" behindDoc="0" locked="0" layoutInCell="1" allowOverlap="1" wp14:anchorId="00782E93" wp14:editId="1D9F6BEF">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02F08" id="Rectangle 28" o:spid="_x0000_s1026" style="position:absolute;margin-left:7.75pt;margin-top:2.85pt;width:9.9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9620E0">
              <w:rPr>
                <w:rFonts w:ascii="Arial" w:hAnsi="Arial" w:cs="Arial"/>
                <w:iCs/>
                <w:sz w:val="16"/>
                <w:szCs w:val="16"/>
              </w:rPr>
              <w:t xml:space="preserve">           Xuất khẩu </w:t>
            </w:r>
            <w:r w:rsidRPr="009620E0">
              <w:rPr>
                <w:rFonts w:ascii="Arial" w:hAnsi="Arial" w:cs="Arial"/>
                <w:iCs/>
                <w:noProof/>
                <w:sz w:val="16"/>
                <w:szCs w:val="16"/>
                <w:lang w:eastAsia="en-GB"/>
              </w:rPr>
              <w:t>h</w:t>
            </w:r>
            <w:r w:rsidRPr="009620E0">
              <w:rPr>
                <w:rFonts w:ascii="Arial" w:hAnsi="Arial" w:cs="Arial"/>
                <w:iCs/>
                <w:sz w:val="16"/>
                <w:szCs w:val="16"/>
              </w:rPr>
              <w:t>àng hóa</w:t>
            </w:r>
          </w:p>
        </w:tc>
        <w:tc>
          <w:tcPr>
            <w:tcW w:w="2838" w:type="dxa"/>
          </w:tcPr>
          <w:p w14:paraId="54CDC821" w14:textId="77777777" w:rsidR="00AE4B92" w:rsidRPr="009620E0" w:rsidRDefault="00AE4B92" w:rsidP="00AE4B92">
            <w:pPr>
              <w:spacing w:before="40" w:after="40" w:line="264" w:lineRule="auto"/>
              <w:jc w:val="both"/>
              <w:rPr>
                <w:b/>
                <w:bCs/>
                <w:i/>
                <w:iCs/>
              </w:rPr>
            </w:pPr>
            <w:r w:rsidRPr="009620E0">
              <w:rPr>
                <w:noProof/>
              </w:rPr>
              <mc:AlternateContent>
                <mc:Choice Requires="wps">
                  <w:drawing>
                    <wp:anchor distT="0" distB="0" distL="114300" distR="114300" simplePos="0" relativeHeight="251663872" behindDoc="0" locked="0" layoutInCell="1" allowOverlap="1" wp14:anchorId="07FC81F3" wp14:editId="7D120940">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56F89" id="Rectangle 29" o:spid="_x0000_s1026" style="position:absolute;margin-left:1.9pt;margin-top:2.85pt;width:9.9pt;height:7.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9620E0">
              <w:rPr>
                <w:rFonts w:ascii="Arial" w:hAnsi="Arial" w:cs="Arial"/>
                <w:iCs/>
                <w:sz w:val="16"/>
                <w:szCs w:val="16"/>
              </w:rPr>
              <w:t xml:space="preserve">          Nhập khẩu </w:t>
            </w:r>
            <w:r w:rsidRPr="009620E0">
              <w:rPr>
                <w:rFonts w:ascii="Arial" w:hAnsi="Arial" w:cs="Arial"/>
                <w:iCs/>
                <w:noProof/>
                <w:sz w:val="16"/>
                <w:szCs w:val="16"/>
                <w:lang w:eastAsia="en-GB"/>
              </w:rPr>
              <w:t>h</w:t>
            </w:r>
            <w:r w:rsidRPr="009620E0">
              <w:rPr>
                <w:rFonts w:ascii="Arial" w:hAnsi="Arial" w:cs="Arial"/>
                <w:iCs/>
                <w:sz w:val="16"/>
                <w:szCs w:val="16"/>
              </w:rPr>
              <w:t>àng hóa</w:t>
            </w:r>
          </w:p>
        </w:tc>
        <w:tc>
          <w:tcPr>
            <w:tcW w:w="1448" w:type="dxa"/>
          </w:tcPr>
          <w:p w14:paraId="75838C8D" w14:textId="77777777" w:rsidR="00AE4B92" w:rsidRPr="009620E0" w:rsidRDefault="00AE4B92" w:rsidP="00AE4B92">
            <w:pPr>
              <w:spacing w:before="40" w:after="40" w:line="264" w:lineRule="auto"/>
              <w:jc w:val="both"/>
              <w:rPr>
                <w:b/>
                <w:bCs/>
                <w:i/>
                <w:iCs/>
              </w:rPr>
            </w:pPr>
          </w:p>
        </w:tc>
      </w:tr>
    </w:tbl>
    <w:p w14:paraId="5C7E823F" w14:textId="77777777" w:rsidR="00AE4B92" w:rsidRPr="009620E0" w:rsidRDefault="00AE4B92" w:rsidP="00A20988">
      <w:pPr>
        <w:spacing w:after="120" w:line="288" w:lineRule="auto"/>
        <w:ind w:firstLine="567"/>
        <w:jc w:val="both"/>
        <w:rPr>
          <w:iCs/>
        </w:rPr>
      </w:pPr>
      <w:r w:rsidRPr="009620E0">
        <w:rPr>
          <w:iCs/>
          <w:spacing w:val="8"/>
        </w:rPr>
        <w:t>Cán cân thương mại hàng hóa sơ bộ tháng Một xuất siêu 3,62 tỷ USD</w:t>
      </w:r>
      <w:r w:rsidRPr="009620E0">
        <w:rPr>
          <w:iCs/>
          <w:vertAlign w:val="superscript"/>
        </w:rPr>
        <w:footnoteReference w:id="14"/>
      </w:r>
      <w:r w:rsidRPr="009620E0">
        <w:rPr>
          <w:iCs/>
        </w:rPr>
        <w:t>; tháng Hai ước tính xuất siêu 1,1 tỷ USD. Tính chung 2 tháng đầu năm 2024, cán cân thương mại hàng hóa ước tính xuất siêu 4,72 tỷ USD (cùng kỳ năm trước xuất siêu 3,5 tỷ USD). Trong đó, khu vực kinh tế trong nước nhập siêu 3,53 tỷ USD; khu vực có vốn đầu tư nước ngoài (kể cả dầu thô) xuất siêu 8,25 tỷ USD.</w:t>
      </w:r>
    </w:p>
    <w:bookmarkEnd w:id="0"/>
    <w:bookmarkEnd w:id="1"/>
    <w:p w14:paraId="7FAD01AA" w14:textId="77777777" w:rsidR="00A12C9A" w:rsidRPr="009620E0" w:rsidRDefault="00A12C9A" w:rsidP="00A20988">
      <w:pPr>
        <w:spacing w:after="120" w:line="288" w:lineRule="auto"/>
        <w:ind w:firstLine="567"/>
        <w:jc w:val="both"/>
        <w:rPr>
          <w:b/>
          <w:i/>
          <w:lang w:val="en-IN"/>
        </w:rPr>
      </w:pPr>
      <w:r w:rsidRPr="009620E0">
        <w:rPr>
          <w:b/>
          <w:i/>
        </w:rPr>
        <w:t>c) Chỉ số giá tiêu dùng, chỉ số giá vàng và chỉ số giá đô la M</w:t>
      </w:r>
      <w:r w:rsidRPr="009620E0">
        <w:rPr>
          <w:b/>
          <w:i/>
          <w:lang w:val="en-IN"/>
        </w:rPr>
        <w:t>ỹ</w:t>
      </w:r>
    </w:p>
    <w:p w14:paraId="2B25C1D5" w14:textId="77777777" w:rsidR="00A12C9A" w:rsidRPr="009620E0" w:rsidRDefault="00A12C9A" w:rsidP="00A20988">
      <w:pPr>
        <w:pStyle w:val="NormalWeb"/>
        <w:spacing w:before="0" w:beforeAutospacing="0" w:after="120" w:afterAutospacing="0" w:line="288" w:lineRule="auto"/>
        <w:ind w:firstLine="567"/>
        <w:jc w:val="both"/>
        <w:rPr>
          <w:i/>
          <w:sz w:val="28"/>
          <w:szCs w:val="28"/>
        </w:rPr>
      </w:pPr>
      <w:r w:rsidRPr="009620E0">
        <w:rPr>
          <w:i/>
          <w:sz w:val="28"/>
          <w:szCs w:val="28"/>
        </w:rPr>
        <w:t>Tháng 02/2024 là tháng có Tết Nguyên đán Giáp Thìn nên nhu cầu mua sắm hàng hóa và dịch vụ của người dân tăng cao; giá gạo trong nước</w:t>
      </w:r>
      <w:r w:rsidRPr="009620E0">
        <w:rPr>
          <w:bCs/>
          <w:i/>
          <w:iCs/>
          <w:sz w:val="28"/>
          <w:szCs w:val="28"/>
        </w:rPr>
        <w:t xml:space="preserve"> tăng theo giá gạo xuất khẩu;</w:t>
      </w:r>
      <w:r w:rsidRPr="009620E0">
        <w:rPr>
          <w:i/>
          <w:sz w:val="28"/>
          <w:szCs w:val="28"/>
        </w:rPr>
        <w:t xml:space="preserve"> giá xăng dầu, giá gas tăng theo giá nhiên liệu thế giới là những nguyên nhân chính làm cho chỉ số giá tiêu dùng (CPI) tháng 02/2024 tăng 1,04% so với tháng trước; tăng 1,35% so với tháng 12/2023 và tăng 3,98% so với cùng kỳ năm 2023.</w:t>
      </w:r>
    </w:p>
    <w:p w14:paraId="6289D195" w14:textId="790B5DE9" w:rsidR="00A12C9A" w:rsidRPr="009620E0" w:rsidRDefault="00A12C9A" w:rsidP="00A20988">
      <w:pPr>
        <w:pStyle w:val="NormalWeb"/>
        <w:spacing w:before="0" w:beforeAutospacing="0" w:after="120" w:afterAutospacing="0" w:line="288" w:lineRule="auto"/>
        <w:ind w:firstLine="567"/>
        <w:jc w:val="both"/>
        <w:rPr>
          <w:i/>
          <w:sz w:val="28"/>
          <w:szCs w:val="28"/>
        </w:rPr>
      </w:pPr>
      <w:r w:rsidRPr="009620E0">
        <w:rPr>
          <w:i/>
          <w:sz w:val="28"/>
          <w:szCs w:val="28"/>
        </w:rPr>
        <w:t xml:space="preserve">Bình quân </w:t>
      </w:r>
      <w:r w:rsidR="00E110EA" w:rsidRPr="009620E0">
        <w:rPr>
          <w:i/>
          <w:sz w:val="28"/>
          <w:szCs w:val="28"/>
          <w:lang w:val="en-US"/>
        </w:rPr>
        <w:t>2</w:t>
      </w:r>
      <w:r w:rsidR="004C5123" w:rsidRPr="009620E0">
        <w:rPr>
          <w:i/>
          <w:sz w:val="28"/>
          <w:szCs w:val="28"/>
          <w:lang w:val="vi-VN"/>
        </w:rPr>
        <w:t xml:space="preserve"> </w:t>
      </w:r>
      <w:r w:rsidRPr="009620E0">
        <w:rPr>
          <w:i/>
          <w:sz w:val="28"/>
          <w:szCs w:val="28"/>
          <w:lang w:val="vi-VN"/>
        </w:rPr>
        <w:t xml:space="preserve">tháng đầu </w:t>
      </w:r>
      <w:r w:rsidRPr="009620E0">
        <w:rPr>
          <w:i/>
          <w:sz w:val="28"/>
          <w:szCs w:val="28"/>
        </w:rPr>
        <w:t>năm 20</w:t>
      </w:r>
      <w:r w:rsidRPr="009620E0">
        <w:rPr>
          <w:i/>
          <w:sz w:val="28"/>
          <w:szCs w:val="28"/>
          <w:lang w:val="vi-VN"/>
        </w:rPr>
        <w:t>2</w:t>
      </w:r>
      <w:r w:rsidRPr="009620E0">
        <w:rPr>
          <w:i/>
          <w:sz w:val="28"/>
          <w:szCs w:val="28"/>
        </w:rPr>
        <w:t>4, CPI tăng 3,67% so với cùng kỳ năm trước; lạm phát cơ bản tăng 2,84%.</w:t>
      </w:r>
    </w:p>
    <w:p w14:paraId="5C3A2CB9" w14:textId="77777777" w:rsidR="00A12C9A" w:rsidRPr="009620E0" w:rsidRDefault="00A12C9A" w:rsidP="00A12C9A">
      <w:pPr>
        <w:jc w:val="center"/>
        <w:rPr>
          <w:rFonts w:ascii="Arial" w:eastAsia="Calibri" w:hAnsi="Arial" w:cs="Arial"/>
          <w:b/>
          <w:sz w:val="24"/>
          <w:szCs w:val="24"/>
          <w:lang w:val="nl-NL"/>
        </w:rPr>
      </w:pPr>
      <w:r w:rsidRPr="009620E0">
        <w:rPr>
          <w:rFonts w:ascii="Arial" w:eastAsia="Calibri" w:hAnsi="Arial" w:cs="Arial"/>
          <w:b/>
          <w:sz w:val="24"/>
          <w:szCs w:val="24"/>
          <w:lang w:val="nl-NL"/>
        </w:rPr>
        <w:lastRenderedPageBreak/>
        <w:t>Hình 16. Tốc độ tăng/giảm CPI tháng 02/2024 so với tháng trước</w:t>
      </w:r>
    </w:p>
    <w:p w14:paraId="3ED2AF1E" w14:textId="6163E575" w:rsidR="00A12C9A" w:rsidRPr="009620E0" w:rsidRDefault="00A12C9A" w:rsidP="00A12C9A">
      <w:pPr>
        <w:tabs>
          <w:tab w:val="left" w:pos="720"/>
        </w:tabs>
        <w:ind w:right="142"/>
        <w:jc w:val="center"/>
        <w:rPr>
          <w:rFonts w:ascii="Arial" w:hAnsi="Arial" w:cs="Arial"/>
          <w:b/>
          <w:sz w:val="24"/>
          <w:szCs w:val="24"/>
          <w:lang w:val="nl-NL"/>
        </w:rPr>
      </w:pPr>
      <w:r w:rsidRPr="009620E0">
        <w:rPr>
          <w:noProof/>
        </w:rPr>
        <w:drawing>
          <wp:inline distT="0" distB="0" distL="0" distR="0" wp14:anchorId="5F01D095" wp14:editId="01E520EA">
            <wp:extent cx="5760720" cy="3641272"/>
            <wp:effectExtent l="0" t="0" r="11430" b="16510"/>
            <wp:docPr id="9" name="Chart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94D9AE" w14:textId="77777777" w:rsidR="00A12C9A" w:rsidRPr="009620E0" w:rsidRDefault="00A12C9A" w:rsidP="00A12C9A">
      <w:pPr>
        <w:spacing w:after="120" w:line="264" w:lineRule="auto"/>
        <w:ind w:firstLine="567"/>
        <w:jc w:val="both"/>
        <w:rPr>
          <w:rFonts w:eastAsia="Calibri"/>
          <w:lang w:val="nl-NL"/>
        </w:rPr>
      </w:pPr>
      <w:r w:rsidRPr="009620E0">
        <w:rPr>
          <w:rFonts w:eastAsia="Calibri"/>
          <w:lang w:val="nl-NL"/>
        </w:rPr>
        <w:t>Trong mức tăng 1,04% của CPI tháng 02/2024 so với tháng trước có 09 nhóm hàng hóa và dịch vụ có chỉ số giá tăng, 02 nhóm hàng có chỉ số giá giảm.</w:t>
      </w:r>
    </w:p>
    <w:p w14:paraId="706FC27F" w14:textId="77777777" w:rsidR="00A12C9A" w:rsidRPr="009620E0" w:rsidRDefault="00A12C9A" w:rsidP="00A12C9A">
      <w:pPr>
        <w:tabs>
          <w:tab w:val="left" w:pos="993"/>
        </w:tabs>
        <w:spacing w:after="120" w:line="264" w:lineRule="auto"/>
        <w:ind w:firstLine="567"/>
        <w:jc w:val="both"/>
        <w:rPr>
          <w:rFonts w:eastAsia="Calibri"/>
          <w:lang w:val="nl-NL"/>
        </w:rPr>
      </w:pPr>
      <w:r w:rsidRPr="009620E0">
        <w:rPr>
          <w:rFonts w:eastAsia="Calibri"/>
          <w:lang w:val="es-NI"/>
        </w:rPr>
        <w:t>(1) Chín nhóm hàng hóa và dịch vụ có chỉ số giá tăng gồm:</w:t>
      </w:r>
    </w:p>
    <w:p w14:paraId="0A857D9F" w14:textId="77777777" w:rsidR="00A12C9A" w:rsidRPr="009620E0" w:rsidRDefault="00A12C9A" w:rsidP="00A12C9A">
      <w:pPr>
        <w:pStyle w:val="NormalWeb"/>
        <w:spacing w:before="0" w:beforeAutospacing="0" w:after="120" w:afterAutospacing="0" w:line="264" w:lineRule="auto"/>
        <w:ind w:firstLine="567"/>
        <w:jc w:val="both"/>
        <w:rPr>
          <w:sz w:val="28"/>
          <w:szCs w:val="28"/>
        </w:rPr>
      </w:pPr>
      <w:r w:rsidRPr="009620E0">
        <w:rPr>
          <w:i/>
          <w:sz w:val="28"/>
          <w:szCs w:val="28"/>
          <w:lang w:val="nl-NL"/>
        </w:rPr>
        <w:t>-</w:t>
      </w:r>
      <w:r w:rsidRPr="009620E0">
        <w:rPr>
          <w:sz w:val="28"/>
          <w:szCs w:val="28"/>
          <w:lang w:val="nl-NL"/>
        </w:rPr>
        <w:t xml:space="preserve"> </w:t>
      </w:r>
      <w:r w:rsidRPr="009620E0">
        <w:rPr>
          <w:i/>
          <w:sz w:val="28"/>
          <w:szCs w:val="28"/>
        </w:rPr>
        <w:t xml:space="preserve">Nhóm </w:t>
      </w:r>
      <w:r w:rsidRPr="009620E0">
        <w:rPr>
          <w:i/>
          <w:sz w:val="28"/>
          <w:szCs w:val="28"/>
          <w:lang w:val="es-NI"/>
        </w:rPr>
        <w:t xml:space="preserve">giao thông </w:t>
      </w:r>
      <w:r w:rsidRPr="009620E0">
        <w:rPr>
          <w:sz w:val="28"/>
          <w:szCs w:val="28"/>
          <w:lang w:val="es-NI"/>
        </w:rPr>
        <w:t xml:space="preserve">tăng cao nhất với 3,09% </w:t>
      </w:r>
      <w:r w:rsidRPr="009620E0">
        <w:rPr>
          <w:sz w:val="28"/>
          <w:szCs w:val="28"/>
          <w:lang w:val="nl-NL"/>
        </w:rPr>
        <w:t xml:space="preserve">(làm CPI chung tăng 0,3 điểm phần trăm), trong đó: </w:t>
      </w:r>
      <w:r w:rsidRPr="009620E0">
        <w:rPr>
          <w:sz w:val="28"/>
          <w:szCs w:val="28"/>
          <w:lang w:val="vi-VN"/>
        </w:rPr>
        <w:t>Chỉ số giá dịch vụ giao thông công cộng tăng 15,48% do nhu cầu đi lại tăng cao tr</w:t>
      </w:r>
      <w:r w:rsidRPr="009620E0">
        <w:rPr>
          <w:sz w:val="28"/>
          <w:szCs w:val="28"/>
        </w:rPr>
        <w:t>ong</w:t>
      </w:r>
      <w:r w:rsidRPr="009620E0">
        <w:rPr>
          <w:sz w:val="28"/>
          <w:szCs w:val="28"/>
          <w:lang w:val="vi-VN"/>
        </w:rPr>
        <w:t xml:space="preserve"> dịp Tết Nguyên đán</w:t>
      </w:r>
      <w:r w:rsidRPr="009620E0">
        <w:rPr>
          <w:rStyle w:val="FootnoteReference"/>
          <w:sz w:val="28"/>
          <w:szCs w:val="28"/>
          <w:lang w:val="vi-VN"/>
        </w:rPr>
        <w:footnoteReference w:id="15"/>
      </w:r>
      <w:r w:rsidRPr="009620E0">
        <w:rPr>
          <w:sz w:val="28"/>
          <w:szCs w:val="28"/>
        </w:rPr>
        <w:t>; chỉ số giá xăng tăng 5,82%, chỉ số giá dầu diezen tăng 5,51% do ảnh hưởng của các đợt điều chỉnh giá xăng dầu trong nước; dịch vụ rửa xe, bơm xe tăng 2,47%; dịch vụ trông giữ xe tăng 1,86%; dịch vụ bảo dưỡng phương tiện đi lại tăng 0,52%; giá lốp, săm xe máy tăng 0,21%; phụ tùng khác của xe máy tăng 0,15%.</w:t>
      </w:r>
    </w:p>
    <w:p w14:paraId="3E30FD6D" w14:textId="77777777" w:rsidR="00A12C9A" w:rsidRPr="009620E0" w:rsidRDefault="00A12C9A" w:rsidP="00A12C9A">
      <w:pPr>
        <w:spacing w:after="120" w:line="264" w:lineRule="auto"/>
        <w:ind w:firstLine="567"/>
        <w:jc w:val="both"/>
        <w:rPr>
          <w:rFonts w:eastAsia="Calibri"/>
          <w:lang w:val="nl-NL"/>
        </w:rPr>
      </w:pPr>
      <w:r w:rsidRPr="009620E0">
        <w:rPr>
          <w:rFonts w:eastAsia="Calibri"/>
          <w:i/>
          <w:lang w:val="nl-NL"/>
        </w:rPr>
        <w:t>- Nhóm hàng ăn và dịch vụ ăn uống</w:t>
      </w:r>
      <w:r w:rsidRPr="009620E0">
        <w:rPr>
          <w:rFonts w:eastAsia="Calibri"/>
          <w:lang w:val="nl-NL"/>
        </w:rPr>
        <w:t xml:space="preserve"> tăng </w:t>
      </w:r>
      <w:r w:rsidRPr="009620E0">
        <w:rPr>
          <w:rFonts w:eastAsia="Calibri"/>
          <w:iCs/>
        </w:rPr>
        <w:t xml:space="preserve">1,71% </w:t>
      </w:r>
      <w:r w:rsidRPr="009620E0">
        <w:rPr>
          <w:rFonts w:eastAsia="Calibri"/>
          <w:iCs/>
          <w:lang w:val="nl-NL"/>
        </w:rPr>
        <w:t>(</w:t>
      </w:r>
      <w:r w:rsidRPr="009620E0">
        <w:rPr>
          <w:rFonts w:eastAsia="Calibri"/>
          <w:iCs/>
        </w:rPr>
        <w:t>tác động làm CPI chung tăng 0,5</w:t>
      </w:r>
      <w:r w:rsidRPr="009620E0">
        <w:rPr>
          <w:rFonts w:eastAsia="Calibri"/>
          <w:iCs/>
          <w:lang w:val="nl-NL"/>
        </w:rPr>
        <w:t>7</w:t>
      </w:r>
      <w:r w:rsidRPr="009620E0">
        <w:rPr>
          <w:rFonts w:eastAsia="Calibri"/>
          <w:iCs/>
        </w:rPr>
        <w:t xml:space="preserve"> điểm phần trăm</w:t>
      </w:r>
      <w:r w:rsidRPr="009620E0">
        <w:rPr>
          <w:rFonts w:eastAsia="Calibri"/>
          <w:iCs/>
          <w:lang w:val="nl-NL"/>
        </w:rPr>
        <w:t>)</w:t>
      </w:r>
      <w:r w:rsidRPr="009620E0">
        <w:rPr>
          <w:rFonts w:eastAsia="Calibri"/>
          <w:lang w:val="es-NI"/>
        </w:rPr>
        <w:t xml:space="preserve">, trong đó: </w:t>
      </w:r>
      <w:r w:rsidRPr="009620E0">
        <w:rPr>
          <w:rFonts w:eastAsia="Calibri"/>
          <w:lang w:val="nl-NL"/>
        </w:rPr>
        <w:t>Lương thực tăng 1,75%</w:t>
      </w:r>
      <w:r w:rsidRPr="009620E0">
        <w:rPr>
          <w:rFonts w:eastAsia="Calibri"/>
          <w:vertAlign w:val="superscript"/>
          <w:lang w:val="nl-NL"/>
        </w:rPr>
        <w:footnoteReference w:id="16"/>
      </w:r>
      <w:r w:rsidRPr="009620E0">
        <w:rPr>
          <w:rFonts w:eastAsia="Calibri"/>
          <w:lang w:val="nl-NL"/>
        </w:rPr>
        <w:t xml:space="preserve"> </w:t>
      </w:r>
      <w:r w:rsidRPr="009620E0">
        <w:rPr>
          <w:rFonts w:eastAsia="Calibri"/>
          <w:iCs/>
          <w:lang w:val="nl-NL"/>
        </w:rPr>
        <w:t>(</w:t>
      </w:r>
      <w:r w:rsidRPr="009620E0">
        <w:rPr>
          <w:rFonts w:eastAsia="Calibri"/>
          <w:iCs/>
        </w:rPr>
        <w:t>tác động làm CPI chung tăng 0,06 điểm phần trăm</w:t>
      </w:r>
      <w:r w:rsidRPr="009620E0">
        <w:rPr>
          <w:rFonts w:eastAsia="Calibri"/>
          <w:iCs/>
          <w:lang w:val="nl-NL"/>
        </w:rPr>
        <w:t>)</w:t>
      </w:r>
      <w:r w:rsidRPr="009620E0">
        <w:rPr>
          <w:rFonts w:eastAsia="Calibri"/>
          <w:lang w:val="nl-NL"/>
        </w:rPr>
        <w:t xml:space="preserve">; thực phẩm </w:t>
      </w:r>
      <w:r w:rsidRPr="009620E0">
        <w:rPr>
          <w:rFonts w:eastAsia="Calibri"/>
          <w:iCs/>
        </w:rPr>
        <w:t>tăng 1,98%</w:t>
      </w:r>
      <w:r w:rsidRPr="009620E0">
        <w:rPr>
          <w:rFonts w:eastAsia="Calibri"/>
          <w:vertAlign w:val="superscript"/>
          <w:lang w:val="nl-NL"/>
        </w:rPr>
        <w:footnoteReference w:id="17"/>
      </w:r>
      <w:r w:rsidRPr="009620E0">
        <w:rPr>
          <w:rFonts w:eastAsia="Calibri"/>
          <w:iCs/>
        </w:rPr>
        <w:t xml:space="preserve"> (tác động làm CPI </w:t>
      </w:r>
      <w:r w:rsidRPr="009620E0">
        <w:rPr>
          <w:rFonts w:eastAsia="Calibri"/>
          <w:iCs/>
        </w:rPr>
        <w:lastRenderedPageBreak/>
        <w:t>chung tăng 0,42 điểm phần trăm</w:t>
      </w:r>
      <w:r w:rsidRPr="009620E0">
        <w:rPr>
          <w:rFonts w:eastAsia="Calibri"/>
          <w:iCs/>
          <w:lang w:val="nl-NL"/>
        </w:rPr>
        <w:t>)</w:t>
      </w:r>
      <w:r w:rsidRPr="009620E0">
        <w:rPr>
          <w:rFonts w:eastAsia="Calibri"/>
          <w:lang w:val="nl-NL"/>
        </w:rPr>
        <w:t xml:space="preserve">; ăn uống ngoài gia đình tăng </w:t>
      </w:r>
      <w:r w:rsidRPr="009620E0">
        <w:rPr>
          <w:rFonts w:eastAsia="Calibri"/>
          <w:iCs/>
        </w:rPr>
        <w:t>1,04</w:t>
      </w:r>
      <w:r w:rsidRPr="009620E0">
        <w:rPr>
          <w:rFonts w:eastAsia="Calibri"/>
          <w:lang w:val="nl-NL"/>
        </w:rPr>
        <w:t>%</w:t>
      </w:r>
      <w:r w:rsidRPr="009620E0">
        <w:rPr>
          <w:rFonts w:eastAsia="Calibri"/>
          <w:vertAlign w:val="superscript"/>
          <w:lang w:val="nl-NL"/>
        </w:rPr>
        <w:footnoteReference w:id="18"/>
      </w:r>
      <w:r w:rsidRPr="009620E0">
        <w:rPr>
          <w:rFonts w:eastAsia="Calibri"/>
          <w:lang w:val="nl-NL"/>
        </w:rPr>
        <w:t xml:space="preserve"> </w:t>
      </w:r>
      <w:r w:rsidRPr="009620E0">
        <w:rPr>
          <w:rFonts w:eastAsia="Calibri"/>
          <w:iCs/>
          <w:lang w:val="nl-NL"/>
        </w:rPr>
        <w:t>(</w:t>
      </w:r>
      <w:r w:rsidRPr="009620E0">
        <w:rPr>
          <w:rFonts w:eastAsia="Calibri"/>
          <w:iCs/>
        </w:rPr>
        <w:t>tác động làm CPI chung tăng 0,09 điểm phần trăm</w:t>
      </w:r>
      <w:r w:rsidRPr="009620E0">
        <w:rPr>
          <w:rFonts w:eastAsia="Calibri"/>
          <w:iCs/>
          <w:lang w:val="nl-NL"/>
        </w:rPr>
        <w:t>)</w:t>
      </w:r>
      <w:r w:rsidRPr="009620E0">
        <w:rPr>
          <w:rFonts w:eastAsia="Calibri"/>
          <w:lang w:val="nl-NL"/>
        </w:rPr>
        <w:t>.</w:t>
      </w:r>
    </w:p>
    <w:p w14:paraId="78770F11" w14:textId="77777777" w:rsidR="00A12C9A" w:rsidRPr="009620E0" w:rsidRDefault="00A12C9A" w:rsidP="00A12C9A">
      <w:pPr>
        <w:spacing w:after="120" w:line="264" w:lineRule="auto"/>
        <w:ind w:firstLine="567"/>
        <w:jc w:val="both"/>
        <w:rPr>
          <w:rFonts w:eastAsia="Calibri"/>
          <w:lang w:val="nl-NL"/>
        </w:rPr>
      </w:pPr>
      <w:r w:rsidRPr="009620E0">
        <w:rPr>
          <w:rFonts w:eastAsia="Calibri"/>
          <w:i/>
          <w:lang w:val="nl-NL"/>
        </w:rPr>
        <w:t>- Nhóm đồ uống và thuốc lá</w:t>
      </w:r>
      <w:r w:rsidRPr="009620E0">
        <w:rPr>
          <w:rFonts w:eastAsia="Calibri"/>
          <w:lang w:val="nl-NL"/>
        </w:rPr>
        <w:t xml:space="preserve"> tăng 0,8% do nhu cầu tiêu dùng và sử dụng làm quà biếu tặng tăng vào dịp Tết Nguyên đán khiến giá rượu bia tăng 1,17%; thuốc hút tăng 0,56%; đồ uống không cồn tăng 0,33%.</w:t>
      </w:r>
    </w:p>
    <w:p w14:paraId="0A8A0287" w14:textId="77777777" w:rsidR="00A12C9A" w:rsidRPr="009620E0" w:rsidRDefault="00A12C9A" w:rsidP="00A12C9A">
      <w:pPr>
        <w:spacing w:after="120" w:line="264" w:lineRule="auto"/>
        <w:ind w:firstLine="567"/>
        <w:jc w:val="both"/>
        <w:rPr>
          <w:rFonts w:eastAsia="Calibri"/>
          <w:lang w:val="nl-NL"/>
        </w:rPr>
      </w:pPr>
      <w:r w:rsidRPr="009620E0">
        <w:rPr>
          <w:rFonts w:eastAsia="Calibri"/>
          <w:i/>
          <w:lang w:val="nl-NL"/>
        </w:rPr>
        <w:t>- Nhóm văn hóa, giải trí và du lịch</w:t>
      </w:r>
      <w:r w:rsidRPr="009620E0">
        <w:rPr>
          <w:rFonts w:eastAsia="Calibri"/>
          <w:lang w:val="nl-NL"/>
        </w:rPr>
        <w:t xml:space="preserve"> tăng 0,79% do nhu cầu mua sắm, du xuân dịp Tết Nguyên đán tăng (tác động làm CPI chung tăng 0,04 điểm phần trăm), tập trung chủ yếu ở những nhóm mặt hàng sau: Giá nhóm hoa, cây cảnh, vật cảnh tăng 4,19%; dịch vụ giải trí tăng 1,09% (trong đó, giá vé xem phim, ca nhạc tăng 15,41%); du lịch trọn gói tăng 1,67% (du lịch trong nước tăng 1,68%; du lịch ngoài nước tăng 1,63%); khách sạn, nhà khách tăng 0,99%.</w:t>
      </w:r>
    </w:p>
    <w:p w14:paraId="6B8FB88D" w14:textId="77777777" w:rsidR="00A12C9A" w:rsidRPr="009620E0" w:rsidRDefault="00A12C9A" w:rsidP="00A12C9A">
      <w:pPr>
        <w:spacing w:after="120" w:line="264" w:lineRule="auto"/>
        <w:ind w:firstLine="567"/>
        <w:jc w:val="both"/>
        <w:rPr>
          <w:rFonts w:eastAsia="Calibri"/>
        </w:rPr>
      </w:pPr>
      <w:r w:rsidRPr="009620E0">
        <w:rPr>
          <w:rFonts w:eastAsia="Calibri"/>
          <w:i/>
        </w:rPr>
        <w:t>- Nhóm hàng hóa và dịch vụ khác</w:t>
      </w:r>
      <w:r w:rsidRPr="009620E0">
        <w:rPr>
          <w:rFonts w:eastAsia="Calibri"/>
        </w:rPr>
        <w:t xml:space="preserve"> tăng 0,78%, chủ yếu tăng giá ở một số nhóm mặt hàng: Dịch vụ cắt tóc, gội đầu tăng 2,88%; nhóm đồ trang sức tăng 2,61%; dịch vụ chăm sóc cá nhân tăng 1,92%. Vào mùa cưới hỏi nên giá các vật dụng, dịch vụ về cưới hỏi tăng 0,25%. Bên cạnh đó, nhu cầu đồ thờ cúng trong dịp Lễ, Tết tăng nên giá các mặt hàng này tăng 0,62% so với tháng trước.</w:t>
      </w:r>
    </w:p>
    <w:p w14:paraId="03A7EC51" w14:textId="77777777" w:rsidR="00A12C9A" w:rsidRPr="009620E0" w:rsidRDefault="00A12C9A" w:rsidP="00A12C9A">
      <w:pPr>
        <w:pStyle w:val="Normal10"/>
        <w:spacing w:before="0" w:beforeAutospacing="0" w:after="120" w:afterAutospacing="0" w:line="264" w:lineRule="auto"/>
        <w:ind w:firstLine="567"/>
        <w:jc w:val="both"/>
        <w:rPr>
          <w:rFonts w:ascii="Times New Roman" w:hAnsi="Times New Roman" w:cs="Times New Roman"/>
          <w:sz w:val="28"/>
          <w:szCs w:val="28"/>
          <w:shd w:val="clear" w:color="auto" w:fill="FFFFFF"/>
          <w:lang w:val="vi-VN"/>
        </w:rPr>
      </w:pPr>
      <w:r w:rsidRPr="009620E0">
        <w:rPr>
          <w:rFonts w:ascii="Times New Roman" w:eastAsia="Calibri" w:hAnsi="Times New Roman" w:cs="Times New Roman"/>
          <w:i/>
          <w:sz w:val="28"/>
          <w:szCs w:val="28"/>
        </w:rPr>
        <w:t>- Nhóm nhà ở và vật liệu xây dựng</w:t>
      </w:r>
      <w:r w:rsidRPr="009620E0">
        <w:rPr>
          <w:rFonts w:ascii="Times New Roman" w:eastAsia="Calibri" w:hAnsi="Times New Roman" w:cs="Times New Roman"/>
          <w:sz w:val="28"/>
          <w:szCs w:val="28"/>
        </w:rPr>
        <w:t xml:space="preserve"> tăng 0,43% (</w:t>
      </w:r>
      <w:r w:rsidRPr="009620E0">
        <w:rPr>
          <w:rFonts w:ascii="Times New Roman" w:eastAsia="Calibri" w:hAnsi="Times New Roman" w:cs="Times New Roman"/>
          <w:iCs/>
          <w:sz w:val="28"/>
          <w:szCs w:val="28"/>
        </w:rPr>
        <w:t>tác động</w:t>
      </w:r>
      <w:r w:rsidRPr="009620E0">
        <w:rPr>
          <w:rFonts w:ascii="Times New Roman" w:hAnsi="Times New Roman" w:cs="Times New Roman"/>
          <w:sz w:val="28"/>
          <w:szCs w:val="28"/>
          <w:lang w:val="vi-VN"/>
        </w:rPr>
        <w:t xml:space="preserve"> làm CPI chung tăng 0,08 điểm phần trăm</w:t>
      </w:r>
      <w:r w:rsidRPr="009620E0">
        <w:rPr>
          <w:rFonts w:ascii="Times New Roman" w:hAnsi="Times New Roman" w:cs="Times New Roman"/>
          <w:sz w:val="28"/>
          <w:szCs w:val="28"/>
        </w:rPr>
        <w:t>)</w:t>
      </w:r>
      <w:r w:rsidRPr="009620E0">
        <w:rPr>
          <w:rFonts w:ascii="Times New Roman" w:eastAsia="Calibri" w:hAnsi="Times New Roman" w:cs="Times New Roman"/>
          <w:sz w:val="28"/>
          <w:szCs w:val="28"/>
        </w:rPr>
        <w:t xml:space="preserve">, </w:t>
      </w:r>
      <w:r w:rsidRPr="009620E0">
        <w:rPr>
          <w:rFonts w:ascii="Times New Roman" w:hAnsi="Times New Roman" w:cs="Times New Roman"/>
          <w:sz w:val="28"/>
          <w:szCs w:val="28"/>
          <w:lang w:val="vi-VN"/>
        </w:rPr>
        <w:t>trong đó một số mặt hàng tăng giá:</w:t>
      </w:r>
      <w:r w:rsidRPr="009620E0">
        <w:rPr>
          <w:rFonts w:ascii="Times New Roman" w:hAnsi="Times New Roman" w:cs="Times New Roman"/>
          <w:sz w:val="28"/>
          <w:szCs w:val="28"/>
        </w:rPr>
        <w:t xml:space="preserve"> </w:t>
      </w:r>
      <w:r w:rsidRPr="009620E0">
        <w:rPr>
          <w:rFonts w:ascii="Times New Roman" w:hAnsi="Times New Roman" w:cs="Times New Roman"/>
          <w:sz w:val="28"/>
          <w:szCs w:val="28"/>
          <w:lang w:val="vi-VN"/>
        </w:rPr>
        <w:t>Giá vật liệu bảo dưỡng nhà ở tăng 0,48% và giá dịch vụ sửa chữa nhà ở tăng 0,71%</w:t>
      </w:r>
      <w:r w:rsidRPr="009620E0">
        <w:rPr>
          <w:rFonts w:ascii="Times New Roman" w:hAnsi="Times New Roman" w:cs="Times New Roman"/>
          <w:sz w:val="28"/>
          <w:szCs w:val="28"/>
        </w:rPr>
        <w:t>; g</w:t>
      </w:r>
      <w:r w:rsidRPr="009620E0">
        <w:rPr>
          <w:rFonts w:ascii="Times New Roman" w:hAnsi="Times New Roman" w:cs="Times New Roman"/>
          <w:sz w:val="28"/>
          <w:szCs w:val="28"/>
          <w:shd w:val="clear" w:color="auto" w:fill="FFFFFF"/>
          <w:lang w:val="vi-VN"/>
        </w:rPr>
        <w:t>iá điện sinh hoạt tháng Hai tăng 0,78%, nước sinh hoạt tăng 1,73%</w:t>
      </w:r>
      <w:r w:rsidRPr="009620E0">
        <w:rPr>
          <w:rStyle w:val="FootnoteReference"/>
          <w:rFonts w:ascii="Times New Roman" w:hAnsi="Times New Roman" w:cs="Times New Roman"/>
          <w:iCs/>
          <w:sz w:val="28"/>
          <w:szCs w:val="28"/>
        </w:rPr>
        <w:footnoteReference w:id="19"/>
      </w:r>
      <w:r w:rsidRPr="009620E0">
        <w:rPr>
          <w:rFonts w:ascii="Times New Roman" w:hAnsi="Times New Roman" w:cs="Times New Roman"/>
          <w:sz w:val="28"/>
          <w:szCs w:val="28"/>
          <w:shd w:val="clear" w:color="auto" w:fill="FFFFFF"/>
          <w:lang w:val="vi-VN"/>
        </w:rPr>
        <w:t xml:space="preserve">; </w:t>
      </w:r>
      <w:r w:rsidRPr="009620E0">
        <w:rPr>
          <w:rFonts w:ascii="Times New Roman" w:hAnsi="Times New Roman" w:cs="Times New Roman"/>
          <w:sz w:val="28"/>
          <w:szCs w:val="28"/>
          <w:shd w:val="clear" w:color="auto" w:fill="FFFFFF"/>
        </w:rPr>
        <w:t>g</w:t>
      </w:r>
      <w:r w:rsidRPr="009620E0">
        <w:rPr>
          <w:rFonts w:ascii="Times New Roman" w:hAnsi="Times New Roman" w:cs="Times New Roman"/>
          <w:sz w:val="28"/>
          <w:szCs w:val="28"/>
          <w:lang w:val="vi-VN"/>
        </w:rPr>
        <w:t xml:space="preserve">iá gas tăng 1,1% so với tháng trước do từ ngày 01/02/2024, giá gas trong nước điều chỉnh tăng 5.000 đồng/bình 12 kg sau khi giá gas thế giới tăng 10 USD/tấn (từ mức 625 USD/tấn lên mức 635 USD/tấn); </w:t>
      </w:r>
      <w:r w:rsidRPr="009620E0">
        <w:rPr>
          <w:rFonts w:ascii="Times New Roman" w:hAnsi="Times New Roman" w:cs="Times New Roman"/>
          <w:sz w:val="28"/>
          <w:szCs w:val="28"/>
        </w:rPr>
        <w:t>g</w:t>
      </w:r>
      <w:r w:rsidRPr="009620E0">
        <w:rPr>
          <w:rFonts w:ascii="Times New Roman" w:hAnsi="Times New Roman" w:cs="Times New Roman"/>
          <w:sz w:val="28"/>
          <w:szCs w:val="28"/>
          <w:lang w:val="vi-VN"/>
        </w:rPr>
        <w:t>iá dầu hỏa tháng 02/2024 tăng 2,7% so với tháng 01/2024 do ảnh hưởng của các đợt điều chỉnh giá trong tháng.</w:t>
      </w:r>
    </w:p>
    <w:p w14:paraId="5C2192E6" w14:textId="77777777" w:rsidR="00A12C9A" w:rsidRPr="009620E0" w:rsidRDefault="00A12C9A" w:rsidP="00A12C9A">
      <w:pPr>
        <w:pStyle w:val="NormalWeb"/>
        <w:spacing w:before="0" w:beforeAutospacing="0" w:after="120" w:afterAutospacing="0" w:line="264" w:lineRule="auto"/>
        <w:ind w:firstLine="567"/>
        <w:jc w:val="both"/>
        <w:rPr>
          <w:sz w:val="28"/>
          <w:szCs w:val="28"/>
        </w:rPr>
      </w:pPr>
      <w:r w:rsidRPr="009620E0">
        <w:rPr>
          <w:i/>
          <w:sz w:val="28"/>
          <w:szCs w:val="28"/>
        </w:rPr>
        <w:t xml:space="preserve"> - Nhóm thiết bị và đồ dùng gia đình</w:t>
      </w:r>
      <w:r w:rsidRPr="009620E0">
        <w:rPr>
          <w:sz w:val="28"/>
          <w:szCs w:val="28"/>
        </w:rPr>
        <w:t xml:space="preserve"> tăng 0,26%. Giá một số mặt hàng tăng do nhu cầu sử dụng tăng như: Giá hàng thủy tinh, sành sứ và bình nước nóng nhà tắm cùng tăng 0,56%; giường, tủ, bàn, ghế tăng 0,28%; vật phẩm tiêu dùng khác tăng 0,26%; đèn điện thắp sáng tăng 0,24%; xà phòng và chất tẩy rửa tăng 0,23%; dịch vụ sửa chữa thiết bị trong gia đình tăng 0,22%; máy hút bụi tăng 0,09%; trang thiết bị nhà bếp tăng 0,06%. </w:t>
      </w:r>
    </w:p>
    <w:p w14:paraId="0F0D7998" w14:textId="77777777" w:rsidR="00A12C9A" w:rsidRPr="009620E0" w:rsidRDefault="00A12C9A" w:rsidP="00A12C9A">
      <w:pPr>
        <w:pStyle w:val="NormalWeb"/>
        <w:spacing w:before="0" w:beforeAutospacing="0" w:after="120" w:afterAutospacing="0" w:line="264" w:lineRule="auto"/>
        <w:ind w:firstLine="567"/>
        <w:jc w:val="both"/>
        <w:rPr>
          <w:sz w:val="28"/>
          <w:szCs w:val="28"/>
          <w:lang w:val="vi-VN"/>
        </w:rPr>
      </w:pPr>
      <w:r w:rsidRPr="009620E0">
        <w:rPr>
          <w:i/>
          <w:sz w:val="28"/>
          <w:szCs w:val="28"/>
        </w:rPr>
        <w:t xml:space="preserve">- </w:t>
      </w:r>
      <w:r w:rsidRPr="009620E0">
        <w:rPr>
          <w:i/>
          <w:sz w:val="28"/>
          <w:szCs w:val="28"/>
          <w:lang w:val="vi-VN"/>
        </w:rPr>
        <w:t>Nhóm may mặc, mũ nón, giày dép</w:t>
      </w:r>
      <w:r w:rsidRPr="009620E0">
        <w:rPr>
          <w:sz w:val="28"/>
          <w:szCs w:val="28"/>
          <w:lang w:val="vi-VN"/>
        </w:rPr>
        <w:t xml:space="preserve"> tăng 0,16% do chi phí nhân công, chi phí vật liệu, nhu cầu mua sắm quần áo dịp Tết Nguyên đán Giáp Thìn tăng. Trong đó, dịch vụ giày dép tăng 1,46% so với tháng trước; dịch vụ may mặc tăng 0,61%; giày dép tăng 0,33%; may mặc khác tăng 0,31; vải các loại tăng 0,25%; mũ nón tăng 0,19%; quần áo may sẵn tăng 0,05%. </w:t>
      </w:r>
    </w:p>
    <w:p w14:paraId="12FE6F3F" w14:textId="77777777" w:rsidR="00A12C9A" w:rsidRPr="009620E0" w:rsidRDefault="00A12C9A" w:rsidP="00A12C9A">
      <w:pPr>
        <w:pStyle w:val="NormalWeb"/>
        <w:spacing w:before="0" w:beforeAutospacing="0" w:after="120" w:afterAutospacing="0" w:line="264" w:lineRule="auto"/>
        <w:ind w:firstLine="567"/>
        <w:jc w:val="both"/>
        <w:rPr>
          <w:sz w:val="28"/>
          <w:szCs w:val="28"/>
          <w:lang w:val="vi-VN"/>
        </w:rPr>
      </w:pPr>
      <w:r w:rsidRPr="009620E0">
        <w:rPr>
          <w:i/>
          <w:sz w:val="28"/>
          <w:szCs w:val="28"/>
        </w:rPr>
        <w:lastRenderedPageBreak/>
        <w:t xml:space="preserve">- </w:t>
      </w:r>
      <w:r w:rsidRPr="009620E0">
        <w:rPr>
          <w:i/>
          <w:sz w:val="28"/>
          <w:szCs w:val="28"/>
          <w:lang w:val="vi-VN"/>
        </w:rPr>
        <w:t>Nhóm thuốc và dịch vụ y tế</w:t>
      </w:r>
      <w:r w:rsidRPr="009620E0">
        <w:rPr>
          <w:sz w:val="28"/>
          <w:szCs w:val="28"/>
          <w:lang w:val="vi-VN"/>
        </w:rPr>
        <w:t xml:space="preserve"> tăng nhẹ 0,02%, trong đó chỉ số giá thuốc các loại tăng 0,11%; giá dịch vụ khám chữa bệnh không biến động so với tháng trước. Nguyên nhân chủ yếu do một số mặt hàng thuốc giảm đau, hạ sốt, chống viêm, thuốc dùng cho đường hô hấp tăng giá khi thời tiết chuyển mùa nồm ẩm tại một số địa phương miền Bắc. </w:t>
      </w:r>
    </w:p>
    <w:p w14:paraId="45FE921D" w14:textId="77777777" w:rsidR="00A12C9A" w:rsidRPr="009620E0" w:rsidRDefault="00A12C9A" w:rsidP="00A12C9A">
      <w:pPr>
        <w:pStyle w:val="NormalWeb"/>
        <w:spacing w:before="0" w:beforeAutospacing="0" w:after="120" w:afterAutospacing="0" w:line="264" w:lineRule="auto"/>
        <w:ind w:firstLine="567"/>
        <w:jc w:val="both"/>
        <w:rPr>
          <w:sz w:val="28"/>
          <w:szCs w:val="28"/>
          <w:lang w:val="es-NI"/>
        </w:rPr>
      </w:pPr>
      <w:r w:rsidRPr="009620E0">
        <w:rPr>
          <w:sz w:val="28"/>
          <w:szCs w:val="28"/>
          <w:lang w:val="es-NI"/>
        </w:rPr>
        <w:t>(2) Hai nhóm hàng hóa và dịch vụ có chỉ số giá giảm gồm:</w:t>
      </w:r>
    </w:p>
    <w:p w14:paraId="52382E49" w14:textId="77777777" w:rsidR="00A12C9A" w:rsidRPr="009620E0" w:rsidRDefault="00A12C9A" w:rsidP="00A12C9A">
      <w:pPr>
        <w:pStyle w:val="NormalWeb"/>
        <w:spacing w:before="0" w:beforeAutospacing="0" w:after="120" w:afterAutospacing="0" w:line="264" w:lineRule="auto"/>
        <w:ind w:firstLine="567"/>
        <w:jc w:val="both"/>
        <w:rPr>
          <w:spacing w:val="4"/>
          <w:sz w:val="28"/>
          <w:szCs w:val="28"/>
          <w:lang w:val="vi-VN"/>
        </w:rPr>
      </w:pPr>
      <w:r w:rsidRPr="009620E0">
        <w:rPr>
          <w:i/>
          <w:spacing w:val="4"/>
          <w:sz w:val="28"/>
          <w:szCs w:val="28"/>
          <w:lang w:val="es-NI"/>
        </w:rPr>
        <w:t>- Nhóm bưu chính viễn thông</w:t>
      </w:r>
      <w:r w:rsidRPr="009620E0">
        <w:rPr>
          <w:spacing w:val="4"/>
          <w:sz w:val="28"/>
          <w:szCs w:val="28"/>
          <w:lang w:val="es-NI"/>
        </w:rPr>
        <w:t xml:space="preserve"> </w:t>
      </w:r>
      <w:r w:rsidRPr="009620E0">
        <w:rPr>
          <w:spacing w:val="4"/>
          <w:sz w:val="28"/>
          <w:szCs w:val="28"/>
          <w:lang w:val="vi-VN"/>
        </w:rPr>
        <w:t xml:space="preserve">giảm 0,17% do các doanh nghiệp thực hiện chương trình khuyến mại giảm giá đối với một số loại điện thoại di động mẫu mã cũ. </w:t>
      </w:r>
    </w:p>
    <w:p w14:paraId="505498DC" w14:textId="77777777" w:rsidR="00A12C9A" w:rsidRPr="009620E0" w:rsidRDefault="00A12C9A" w:rsidP="00A12C9A">
      <w:pPr>
        <w:pStyle w:val="NormalWeb"/>
        <w:spacing w:before="0" w:beforeAutospacing="0" w:after="120" w:afterAutospacing="0" w:line="264" w:lineRule="auto"/>
        <w:ind w:firstLine="567"/>
        <w:jc w:val="both"/>
        <w:rPr>
          <w:b/>
          <w:sz w:val="28"/>
          <w:szCs w:val="28"/>
          <w:lang w:val="vi-VN"/>
        </w:rPr>
      </w:pPr>
      <w:r w:rsidRPr="009620E0">
        <w:rPr>
          <w:i/>
          <w:sz w:val="28"/>
          <w:szCs w:val="28"/>
          <w:lang w:val="nl-NL"/>
        </w:rPr>
        <w:t>-</w:t>
      </w:r>
      <w:r w:rsidRPr="009620E0">
        <w:rPr>
          <w:i/>
          <w:sz w:val="28"/>
          <w:szCs w:val="28"/>
        </w:rPr>
        <w:t xml:space="preserve"> </w:t>
      </w:r>
      <w:r w:rsidRPr="009620E0">
        <w:rPr>
          <w:i/>
          <w:sz w:val="28"/>
          <w:szCs w:val="28"/>
          <w:lang w:val="es-NI"/>
        </w:rPr>
        <w:t>N</w:t>
      </w:r>
      <w:r w:rsidRPr="009620E0">
        <w:rPr>
          <w:i/>
          <w:sz w:val="28"/>
          <w:szCs w:val="28"/>
        </w:rPr>
        <w:t>hóm giáo dục</w:t>
      </w:r>
      <w:r w:rsidRPr="009620E0">
        <w:rPr>
          <w:i/>
          <w:sz w:val="28"/>
          <w:szCs w:val="28"/>
          <w:lang w:val="nl-NL"/>
        </w:rPr>
        <w:t xml:space="preserve"> </w:t>
      </w:r>
      <w:bookmarkStart w:id="2" w:name="_Hlk67815215"/>
      <w:r w:rsidRPr="009620E0">
        <w:rPr>
          <w:bCs/>
          <w:sz w:val="28"/>
          <w:szCs w:val="28"/>
          <w:lang w:val="vi-VN"/>
        </w:rPr>
        <w:t xml:space="preserve">giảm 0,42% so với tháng trước </w:t>
      </w:r>
      <w:r w:rsidRPr="009620E0">
        <w:rPr>
          <w:bCs/>
          <w:sz w:val="28"/>
          <w:szCs w:val="28"/>
        </w:rPr>
        <w:t>(</w:t>
      </w:r>
      <w:r w:rsidRPr="009620E0">
        <w:rPr>
          <w:bCs/>
          <w:sz w:val="28"/>
          <w:szCs w:val="28"/>
          <w:lang w:val="vi-VN"/>
        </w:rPr>
        <w:t>tác động làm CPI chung giảm 0,03 điểm phần trăm</w:t>
      </w:r>
      <w:r w:rsidRPr="009620E0">
        <w:rPr>
          <w:bCs/>
          <w:sz w:val="28"/>
          <w:szCs w:val="28"/>
        </w:rPr>
        <w:t>)</w:t>
      </w:r>
      <w:r w:rsidRPr="009620E0">
        <w:rPr>
          <w:bCs/>
          <w:sz w:val="28"/>
          <w:szCs w:val="28"/>
          <w:lang w:val="vi-VN"/>
        </w:rPr>
        <w:t>, trong đó dịch vụ giáo dục giảm 0,48%</w:t>
      </w:r>
      <w:r w:rsidRPr="009620E0">
        <w:rPr>
          <w:rStyle w:val="FootnoteReference"/>
          <w:sz w:val="28"/>
          <w:szCs w:val="28"/>
          <w:shd w:val="clear" w:color="auto" w:fill="FFFFFF"/>
        </w:rPr>
        <w:footnoteReference w:id="20"/>
      </w:r>
      <w:r w:rsidRPr="009620E0">
        <w:rPr>
          <w:bCs/>
          <w:sz w:val="28"/>
          <w:szCs w:val="28"/>
          <w:lang w:val="vi-VN"/>
        </w:rPr>
        <w:t>. Nguyên nhân chủ yếu do ngày 31/12/2023, Chính phủ ban hành Nghị quyết số 97/2023/NĐ-CP sửa đổi, bổ sung một số điều của Nghị định số 81/2021/NĐ-CP ngày 27 tháng 8 năm 2021 của Chính phủ, trong đó yêu cầu</w:t>
      </w:r>
      <w:r w:rsidRPr="009620E0">
        <w:rPr>
          <w:sz w:val="28"/>
          <w:szCs w:val="28"/>
          <w:shd w:val="clear" w:color="auto" w:fill="FFFFFF"/>
          <w:lang w:val="vi-VN"/>
        </w:rPr>
        <w:t> giữ ổn định mức thu học phí từ năm học 2023-2024 bằng mức thu học phí của năm học 2021-2022</w:t>
      </w:r>
      <w:r w:rsidRPr="009620E0">
        <w:rPr>
          <w:bCs/>
          <w:sz w:val="28"/>
          <w:szCs w:val="28"/>
          <w:lang w:val="vi-VN"/>
        </w:rPr>
        <w:t xml:space="preserve"> </w:t>
      </w:r>
      <w:r w:rsidRPr="009620E0">
        <w:rPr>
          <w:sz w:val="28"/>
          <w:szCs w:val="28"/>
          <w:shd w:val="clear" w:color="auto" w:fill="FFFFFF"/>
          <w:lang w:val="vi-VN"/>
        </w:rPr>
        <w:t>đối với giáo dục mầm non, giáo dục phổ thông công lập</w:t>
      </w:r>
      <w:r w:rsidRPr="009620E0">
        <w:rPr>
          <w:sz w:val="28"/>
          <w:szCs w:val="28"/>
          <w:shd w:val="clear" w:color="auto" w:fill="FFFFFF"/>
        </w:rPr>
        <w:t>,</w:t>
      </w:r>
      <w:r w:rsidRPr="009620E0">
        <w:rPr>
          <w:sz w:val="28"/>
          <w:szCs w:val="28"/>
          <w:shd w:val="clear" w:color="auto" w:fill="FFFFFF"/>
          <w:lang w:val="vi-VN"/>
        </w:rPr>
        <w:t xml:space="preserve"> </w:t>
      </w:r>
      <w:r w:rsidRPr="009620E0">
        <w:rPr>
          <w:sz w:val="28"/>
          <w:szCs w:val="28"/>
          <w:shd w:val="clear" w:color="auto" w:fill="FFFFFF"/>
        </w:rPr>
        <w:t>theo</w:t>
      </w:r>
      <w:r w:rsidRPr="009620E0">
        <w:rPr>
          <w:sz w:val="28"/>
          <w:szCs w:val="28"/>
          <w:shd w:val="clear" w:color="auto" w:fill="FFFFFF"/>
          <w:lang w:val="vi-VN"/>
        </w:rPr>
        <w:t xml:space="preserve"> đó, một số địa phương</w:t>
      </w:r>
      <w:bookmarkStart w:id="3" w:name="_ftnref3"/>
      <w:bookmarkEnd w:id="3"/>
      <w:r w:rsidRPr="009620E0">
        <w:rPr>
          <w:sz w:val="28"/>
          <w:szCs w:val="28"/>
          <w:shd w:val="clear" w:color="auto" w:fill="FFFFFF"/>
          <w:lang w:val="vi-VN"/>
        </w:rPr>
        <w:t> đã điều chỉnh giảm mức học phí sau khi đã thu theo Nghị định số 81/2021/NĐ-CP.</w:t>
      </w:r>
    </w:p>
    <w:bookmarkEnd w:id="2"/>
    <w:p w14:paraId="587910CE" w14:textId="336F23CA" w:rsidR="00A12C9A" w:rsidRPr="009620E0" w:rsidRDefault="00A12C9A" w:rsidP="00A12C9A">
      <w:pPr>
        <w:pStyle w:val="NormalWeb"/>
        <w:spacing w:before="0" w:beforeAutospacing="0" w:after="120" w:afterAutospacing="0" w:line="264" w:lineRule="auto"/>
        <w:ind w:firstLine="567"/>
        <w:jc w:val="both"/>
        <w:rPr>
          <w:sz w:val="28"/>
          <w:szCs w:val="28"/>
          <w:lang w:val="pl-PL"/>
        </w:rPr>
      </w:pPr>
      <w:r w:rsidRPr="009620E0">
        <w:rPr>
          <w:sz w:val="28"/>
          <w:szCs w:val="28"/>
          <w:lang w:val="pl-PL"/>
        </w:rPr>
        <w:t>Lạm phát cơ bản</w:t>
      </w:r>
      <w:r w:rsidRPr="009620E0">
        <w:rPr>
          <w:rStyle w:val="FootnoteReference"/>
          <w:sz w:val="28"/>
          <w:szCs w:val="28"/>
        </w:rPr>
        <w:footnoteReference w:id="21"/>
      </w:r>
      <w:r w:rsidRPr="009620E0">
        <w:rPr>
          <w:sz w:val="28"/>
          <w:szCs w:val="28"/>
          <w:lang w:val="pl-PL"/>
        </w:rPr>
        <w:t xml:space="preserve"> tháng 02/2024 </w:t>
      </w:r>
      <w:r w:rsidRPr="009620E0">
        <w:rPr>
          <w:sz w:val="28"/>
          <w:szCs w:val="28"/>
          <w:lang w:val="vi-VN"/>
        </w:rPr>
        <w:t xml:space="preserve">tăng </w:t>
      </w:r>
      <w:r w:rsidRPr="009620E0">
        <w:rPr>
          <w:sz w:val="28"/>
          <w:szCs w:val="28"/>
          <w:lang w:val="pl-PL"/>
        </w:rPr>
        <w:t>0,49%</w:t>
      </w:r>
      <w:r w:rsidRPr="009620E0">
        <w:rPr>
          <w:sz w:val="28"/>
          <w:szCs w:val="28"/>
          <w:lang w:val="vi-VN"/>
        </w:rPr>
        <w:t xml:space="preserve"> so </w:t>
      </w:r>
      <w:r w:rsidRPr="009620E0">
        <w:rPr>
          <w:sz w:val="28"/>
          <w:szCs w:val="28"/>
          <w:lang w:val="pl-PL"/>
        </w:rPr>
        <w:t>với tháng trước và</w:t>
      </w:r>
      <w:r w:rsidRPr="009620E0">
        <w:rPr>
          <w:sz w:val="28"/>
          <w:szCs w:val="28"/>
          <w:lang w:val="vi-VN"/>
        </w:rPr>
        <w:t xml:space="preserve"> tăng </w:t>
      </w:r>
      <w:r w:rsidRPr="009620E0">
        <w:rPr>
          <w:sz w:val="28"/>
          <w:szCs w:val="28"/>
          <w:lang w:val="pl-PL"/>
        </w:rPr>
        <w:t xml:space="preserve">2,96% so với cùng kỳ năm trước. Bình quân </w:t>
      </w:r>
      <w:r w:rsidR="00E110EA" w:rsidRPr="009620E0">
        <w:rPr>
          <w:sz w:val="28"/>
          <w:szCs w:val="28"/>
          <w:lang w:val="pl-PL"/>
        </w:rPr>
        <w:t>2</w:t>
      </w:r>
      <w:r w:rsidR="004C5123" w:rsidRPr="009620E0">
        <w:rPr>
          <w:sz w:val="28"/>
          <w:szCs w:val="28"/>
          <w:lang w:val="pl-PL"/>
        </w:rPr>
        <w:t xml:space="preserve"> </w:t>
      </w:r>
      <w:r w:rsidRPr="009620E0">
        <w:rPr>
          <w:sz w:val="28"/>
          <w:szCs w:val="28"/>
          <w:lang w:val="pl-PL"/>
        </w:rPr>
        <w:t xml:space="preserve">tháng đầu năm, lạm phát cơ bản tăng 2,84% so với cùng kỳ năm trước, thấp hơn mức CPI bình quân chung (tăng 3,67%) chủ yếu do giá lương thực, xăng dầu, giá dịch vụ y tế và giá dịch vụ giáo dục là yếu tố tác động tăng CPI nhưng thuộc nhóm hàng được loại trừ trong danh mục tính toán lạm phát cơ bản. </w:t>
      </w:r>
    </w:p>
    <w:p w14:paraId="3786835B" w14:textId="224B2423" w:rsidR="00A12C9A" w:rsidRPr="009620E0" w:rsidRDefault="00A12C9A" w:rsidP="00A12C9A">
      <w:pPr>
        <w:pStyle w:val="NormalWeb"/>
        <w:spacing w:before="0" w:beforeAutospacing="0" w:after="120" w:afterAutospacing="0" w:line="264" w:lineRule="auto"/>
        <w:ind w:firstLine="567"/>
        <w:jc w:val="both"/>
        <w:rPr>
          <w:sz w:val="28"/>
          <w:szCs w:val="28"/>
          <w:lang w:val="de-DE"/>
        </w:rPr>
      </w:pPr>
      <w:r w:rsidRPr="009620E0">
        <w:rPr>
          <w:sz w:val="28"/>
          <w:szCs w:val="28"/>
          <w:lang w:val="de-DE"/>
        </w:rPr>
        <w:t xml:space="preserve"> Giá vàng trong nước biến động cùng chiều với giá vàng thế giới. Tính đến ngày 25/02/2024, bình quân giá vàng thế giới ở mức 2.037,18 USD/ounce, tăng 1,11% so với tháng 01/2024 do kỳ vọng Cục Dự trữ Liên bang Mỹ (FED) sẽ nới lỏng chính sách tiền tệ sau chiến dịch tăng lãi suất nhằm kiềm chế lạm phát. Ngoài ra, nhu cầu mua vàng tăng do căng thẳng địa chính trị kéo dài và kinh tế Trung Quốc tăng trưởng chậm lại thúc đẩy các nhà đầu tư tìm đến vàng như một kênh trú ẩn an toàn. Trong nước, do nhu cầu mua vàng lấy may trong ngày Thần Tài tăng làm chỉ số giá vàng tháng 02/2024 tăng 2,01% so với tháng trước; tăng 4,61% so với tháng 12/2023; tăng 16,67% so với cùng kỳ năm trước; bình quân </w:t>
      </w:r>
      <w:r w:rsidR="00E110EA" w:rsidRPr="009620E0">
        <w:rPr>
          <w:sz w:val="28"/>
          <w:szCs w:val="28"/>
          <w:lang w:val="de-DE"/>
        </w:rPr>
        <w:t>2</w:t>
      </w:r>
      <w:r w:rsidRPr="009620E0">
        <w:rPr>
          <w:sz w:val="28"/>
          <w:szCs w:val="28"/>
          <w:lang w:val="de-DE"/>
        </w:rPr>
        <w:t xml:space="preserve"> tháng đầu năm 2024, chỉ số giá vàng tăng 16,05%.</w:t>
      </w:r>
    </w:p>
    <w:p w14:paraId="3E6A0FB4" w14:textId="7777118A" w:rsidR="00A12C9A" w:rsidRPr="009620E0" w:rsidRDefault="00A12C9A" w:rsidP="00A20988">
      <w:pPr>
        <w:pStyle w:val="NormalWeb"/>
        <w:spacing w:before="0" w:beforeAutospacing="0" w:after="120" w:afterAutospacing="0" w:line="276" w:lineRule="auto"/>
        <w:ind w:firstLine="567"/>
        <w:jc w:val="both"/>
        <w:rPr>
          <w:sz w:val="28"/>
          <w:szCs w:val="28"/>
          <w:lang w:val="de-DE"/>
        </w:rPr>
      </w:pPr>
      <w:r w:rsidRPr="009620E0">
        <w:rPr>
          <w:sz w:val="28"/>
          <w:szCs w:val="28"/>
          <w:lang w:val="de-DE"/>
        </w:rPr>
        <w:lastRenderedPageBreak/>
        <w:t xml:space="preserve"> Trên thế giới, giá đồng đô la Mỹ tăng sau khi số liệu lạm phát của Mỹ tháng 01/2024 được công bố cao hơn dự kiến, các nhà đầu tư dự báo FED sẽ giữ nguyên lãi suất trong tháng 3/2024. Tính đến ngày 25/02/2024, chỉ số đô la Mỹ trên thị trường quốc tế đạt mức 103,86 điểm, tăng 0,66% so với tháng trước. Trong nước, giá đô la Mỹ bình quân trên thị trường tự do quanh mức 25.115 VND/USD. Chỉ số giá đô la Mỹ tháng 02/2024 tăng 0,4% so với tháng trước; tăng 0,92% so với tháng 12/2023; tăng 3,89% so với cùng kỳ năm trước; bình quân </w:t>
      </w:r>
      <w:r w:rsidR="00E110EA" w:rsidRPr="009620E0">
        <w:rPr>
          <w:sz w:val="28"/>
          <w:szCs w:val="28"/>
          <w:lang w:val="de-DE"/>
        </w:rPr>
        <w:t>2</w:t>
      </w:r>
      <w:r w:rsidRPr="009620E0">
        <w:rPr>
          <w:sz w:val="28"/>
          <w:szCs w:val="28"/>
          <w:lang w:val="de-DE"/>
        </w:rPr>
        <w:t xml:space="preserve"> tháng đầu năm 2024 tăng 3,79%.</w:t>
      </w:r>
    </w:p>
    <w:p w14:paraId="71482362" w14:textId="3109F5D1" w:rsidR="00865420" w:rsidRPr="009620E0" w:rsidRDefault="00865420" w:rsidP="00A20988">
      <w:pPr>
        <w:spacing w:after="120" w:line="276" w:lineRule="auto"/>
        <w:ind w:firstLine="567"/>
        <w:jc w:val="both"/>
        <w:rPr>
          <w:b/>
          <w:bCs/>
          <w:sz w:val="2"/>
          <w:lang w:val="pt-BR"/>
        </w:rPr>
      </w:pPr>
      <w:r w:rsidRPr="009620E0">
        <w:rPr>
          <w:b/>
          <w:bCs/>
          <w:i/>
          <w:iCs/>
          <w:lang w:val="vi-VN"/>
        </w:rPr>
        <w:t>d) Vận tải hành khách và hàng hóa</w:t>
      </w:r>
    </w:p>
    <w:p w14:paraId="77825EEF" w14:textId="3881FE37" w:rsidR="00865420" w:rsidRPr="009620E0" w:rsidRDefault="00865420" w:rsidP="00A20988">
      <w:pPr>
        <w:pStyle w:val="ListParagraph"/>
        <w:tabs>
          <w:tab w:val="left" w:pos="567"/>
        </w:tabs>
        <w:spacing w:after="120"/>
        <w:ind w:left="0" w:firstLine="567"/>
        <w:contextualSpacing w:val="0"/>
        <w:jc w:val="both"/>
        <w:rPr>
          <w:rFonts w:eastAsia="Times New Roman"/>
          <w:i/>
          <w:iCs/>
          <w:lang w:val="es-NI"/>
        </w:rPr>
      </w:pPr>
      <w:r w:rsidRPr="009620E0">
        <w:rPr>
          <w:rFonts w:eastAsia="Times New Roman"/>
          <w:i/>
          <w:iCs/>
          <w:lang w:val="es-NI"/>
        </w:rPr>
        <w:t xml:space="preserve">Hoạt động vận tải tháng Hai diễn ra sôi động phục vụ nhu cầu đi lại, du lịch và tiêu dùng của nhân dân trong dịp Tết Nguyên đán. So với cùng kỳ năm trước, vận tải hành khách tháng 02/2024 tăng 14,3% về vận chuyển và tăng 22,7% về luân chuyển; vận tải hàng hóa tăng 13,5% về vận chuyển và tăng 4,7% về luân chuyển. Tính chung </w:t>
      </w:r>
      <w:r w:rsidR="00E110EA" w:rsidRPr="009620E0">
        <w:rPr>
          <w:rFonts w:eastAsia="Times New Roman"/>
          <w:i/>
          <w:iCs/>
          <w:lang w:val="es-NI"/>
        </w:rPr>
        <w:t>2</w:t>
      </w:r>
      <w:r w:rsidRPr="009620E0">
        <w:rPr>
          <w:rFonts w:eastAsia="Times New Roman"/>
          <w:i/>
          <w:iCs/>
          <w:lang w:val="es-NI"/>
        </w:rPr>
        <w:t xml:space="preserve"> tháng đầu năm 2024, vận chuyển hành khách tăng 9,2% và luân chuyển tăng 11,8% so với cùng kỳ năm trước; vận chuyển hàng hóa tăng 13,9% và luân chuyển tăng 14%.</w:t>
      </w:r>
    </w:p>
    <w:p w14:paraId="5F80EC3C" w14:textId="4783ACAF" w:rsidR="00865420" w:rsidRPr="009620E0" w:rsidRDefault="00865420" w:rsidP="00A20988">
      <w:pPr>
        <w:spacing w:after="120" w:line="276" w:lineRule="auto"/>
        <w:ind w:firstLine="567"/>
        <w:jc w:val="both"/>
        <w:rPr>
          <w:lang w:val="nl-NL"/>
        </w:rPr>
      </w:pPr>
      <w:r w:rsidRPr="009620E0">
        <w:rPr>
          <w:i/>
          <w:spacing w:val="-2"/>
          <w:lang w:val="nl-NL"/>
        </w:rPr>
        <w:t xml:space="preserve">Vận tải hành khách </w:t>
      </w:r>
      <w:r w:rsidRPr="009620E0">
        <w:rPr>
          <w:spacing w:val="-2"/>
          <w:lang w:val="nl-NL"/>
        </w:rPr>
        <w:t>tháng 02/2024 ước đạt 421,5 triệu lượt khách vận chuyển</w:t>
      </w:r>
      <w:r w:rsidRPr="009620E0">
        <w:rPr>
          <w:lang w:val="nl-NL"/>
        </w:rPr>
        <w:t xml:space="preserve">, tăng 8,7% và luân chuyển 23,7 tỷ lượt khách.km, tăng 10,2% so với tháng trước do nhu </w:t>
      </w:r>
      <w:r w:rsidRPr="009620E0">
        <w:rPr>
          <w:lang w:val="pt-BR"/>
        </w:rPr>
        <w:t>cầu đi lại, du lịch của người dân trong nước cũng như khách quốc tế tăng cao trong kỳ nghỉ Tết Nguyên đán.</w:t>
      </w:r>
      <w:r w:rsidRPr="009620E0">
        <w:rPr>
          <w:lang w:val="nl-NL"/>
        </w:rPr>
        <w:t xml:space="preserve"> Tính chung </w:t>
      </w:r>
      <w:r w:rsidR="00E110EA" w:rsidRPr="009620E0">
        <w:rPr>
          <w:lang w:val="nl-NL"/>
        </w:rPr>
        <w:t>2</w:t>
      </w:r>
      <w:r w:rsidRPr="009620E0">
        <w:rPr>
          <w:lang w:val="nl-NL"/>
        </w:rPr>
        <w:t xml:space="preserve"> tháng đầu năm 2024, vận tải hành khách ước đạt 809,1 triệu lượt khách vận chuyển, tăng 9,2% so với cùng kỳ năm trước và luân chuyển đạt 45,2 tỷ lượt khách.km, tăng 11,8%. Trong đó, vận tải trong nước ước đạt 806,1 triệu lượt khách vận chuyển, tăng 9,1% so với cùng kỳ năm trước và 34,9 tỷ lượt khách.km luân chuyển, tăng 3,8%; vận tải ngoài nước ước đạt 3 triệu lượt khách vận chuyển, tăng 37,5% và 10,3 tỷ lượt khách.km luân chuyển, tăng 51,2% </w:t>
      </w:r>
      <w:r w:rsidR="00997446" w:rsidRPr="009620E0">
        <w:rPr>
          <w:lang w:val="nl-NL"/>
        </w:rPr>
        <w:t xml:space="preserve">so với </w:t>
      </w:r>
      <w:r w:rsidRPr="009620E0">
        <w:rPr>
          <w:lang w:val="nl-NL"/>
        </w:rPr>
        <w:t xml:space="preserve">cùng kỳ năm trước. </w:t>
      </w:r>
    </w:p>
    <w:p w14:paraId="6FF3ABE9" w14:textId="552F9233" w:rsidR="00865420" w:rsidRPr="009620E0" w:rsidRDefault="00865420" w:rsidP="00A20988">
      <w:pPr>
        <w:spacing w:after="120" w:line="276" w:lineRule="auto"/>
        <w:ind w:firstLine="567"/>
        <w:jc w:val="both"/>
        <w:rPr>
          <w:lang w:val="nl-NL"/>
        </w:rPr>
      </w:pPr>
      <w:r w:rsidRPr="009620E0">
        <w:rPr>
          <w:lang w:val="nl-NL"/>
        </w:rPr>
        <w:t xml:space="preserve">Xét theo ngành vận tải, tất cả các ngành đường trong </w:t>
      </w:r>
      <w:r w:rsidR="00E110EA" w:rsidRPr="009620E0">
        <w:rPr>
          <w:lang w:val="nl-NL"/>
        </w:rPr>
        <w:t>2</w:t>
      </w:r>
      <w:r w:rsidRPr="009620E0">
        <w:rPr>
          <w:lang w:val="nl-NL"/>
        </w:rPr>
        <w:t xml:space="preserve"> tháng đầu năm 2024 đều tăng so với cùng kỳ năm trước.</w:t>
      </w:r>
    </w:p>
    <w:p w14:paraId="7216FBFB" w14:textId="78F2667C" w:rsidR="00865420" w:rsidRPr="009620E0" w:rsidRDefault="00865420" w:rsidP="00865420">
      <w:pPr>
        <w:tabs>
          <w:tab w:val="left" w:pos="567"/>
        </w:tabs>
        <w:spacing w:before="60" w:after="60" w:line="288" w:lineRule="auto"/>
        <w:jc w:val="center"/>
        <w:rPr>
          <w:rFonts w:ascii="Arial" w:hAnsi="Arial" w:cs="Arial"/>
          <w:b/>
          <w:bCs/>
          <w:sz w:val="24"/>
          <w:szCs w:val="24"/>
          <w:lang w:val="nl-NL"/>
        </w:rPr>
      </w:pPr>
      <w:r w:rsidRPr="009620E0">
        <w:rPr>
          <w:rFonts w:ascii="Arial" w:hAnsi="Arial" w:cs="Arial"/>
          <w:b/>
          <w:spacing w:val="-2"/>
          <w:sz w:val="24"/>
          <w:szCs w:val="20"/>
          <w:lang w:val="pl-PL"/>
        </w:rPr>
        <w:t xml:space="preserve">Biểu 6. </w:t>
      </w:r>
      <w:r w:rsidRPr="009620E0">
        <w:rPr>
          <w:rFonts w:ascii="Arial" w:hAnsi="Arial" w:cs="Arial"/>
          <w:b/>
          <w:bCs/>
          <w:sz w:val="24"/>
          <w:szCs w:val="24"/>
          <w:lang w:val="pl-PL"/>
        </w:rPr>
        <w:t xml:space="preserve">Vận tải hành khách </w:t>
      </w:r>
      <w:r w:rsidR="00E110EA" w:rsidRPr="009620E0">
        <w:rPr>
          <w:rFonts w:ascii="Arial" w:hAnsi="Arial" w:cs="Arial"/>
          <w:b/>
          <w:bCs/>
          <w:sz w:val="24"/>
          <w:szCs w:val="24"/>
          <w:lang w:val="pl-PL"/>
        </w:rPr>
        <w:t>2</w:t>
      </w:r>
      <w:r w:rsidRPr="009620E0">
        <w:rPr>
          <w:rFonts w:ascii="Arial" w:hAnsi="Arial" w:cs="Arial"/>
          <w:b/>
          <w:bCs/>
          <w:sz w:val="24"/>
          <w:szCs w:val="24"/>
          <w:lang w:val="pl-PL"/>
        </w:rPr>
        <w:t xml:space="preserve"> tháng đầu năm 2024</w:t>
      </w:r>
      <w:r w:rsidRPr="009620E0">
        <w:rPr>
          <w:rFonts w:ascii="Arial" w:hAnsi="Arial" w:cs="Arial"/>
          <w:b/>
          <w:bCs/>
          <w:sz w:val="24"/>
          <w:szCs w:val="24"/>
          <w:lang w:val="nl-NL"/>
        </w:rPr>
        <w:t xml:space="preserve"> phân theo ngành vận tải</w:t>
      </w:r>
    </w:p>
    <w:tbl>
      <w:tblPr>
        <w:tblW w:w="9149" w:type="dxa"/>
        <w:jc w:val="center"/>
        <w:tblLook w:val="04A0" w:firstRow="1" w:lastRow="0" w:firstColumn="1" w:lastColumn="0" w:noHBand="0" w:noVBand="1"/>
      </w:tblPr>
      <w:tblGrid>
        <w:gridCol w:w="2203"/>
        <w:gridCol w:w="1805"/>
        <w:gridCol w:w="1873"/>
        <w:gridCol w:w="1768"/>
        <w:gridCol w:w="1500"/>
      </w:tblGrid>
      <w:tr w:rsidR="009620E0" w:rsidRPr="009620E0" w14:paraId="345FEEC3" w14:textId="77777777" w:rsidTr="00865420">
        <w:trPr>
          <w:trHeight w:val="562"/>
          <w:jc w:val="center"/>
        </w:trPr>
        <w:tc>
          <w:tcPr>
            <w:tcW w:w="2203" w:type="dxa"/>
            <w:tcBorders>
              <w:top w:val="single" w:sz="4" w:space="0" w:color="auto"/>
              <w:left w:val="nil"/>
              <w:bottom w:val="nil"/>
              <w:right w:val="nil"/>
            </w:tcBorders>
            <w:vAlign w:val="center"/>
            <w:hideMark/>
          </w:tcPr>
          <w:p w14:paraId="76CDD393" w14:textId="77777777" w:rsidR="00865420" w:rsidRPr="009620E0" w:rsidRDefault="00865420">
            <w:pPr>
              <w:rPr>
                <w:rFonts w:ascii="Arial" w:hAnsi="Arial" w:cs="Arial"/>
                <w:b/>
                <w:bCs/>
                <w:sz w:val="24"/>
                <w:szCs w:val="24"/>
                <w:lang w:val="nl-NL"/>
              </w:rPr>
            </w:pPr>
          </w:p>
        </w:tc>
        <w:tc>
          <w:tcPr>
            <w:tcW w:w="3678" w:type="dxa"/>
            <w:gridSpan w:val="2"/>
            <w:tcBorders>
              <w:top w:val="single" w:sz="4" w:space="0" w:color="auto"/>
              <w:left w:val="nil"/>
              <w:bottom w:val="single" w:sz="4" w:space="0" w:color="auto"/>
              <w:right w:val="nil"/>
            </w:tcBorders>
            <w:vAlign w:val="center"/>
            <w:hideMark/>
          </w:tcPr>
          <w:p w14:paraId="513AB74C" w14:textId="77777777" w:rsidR="00865420" w:rsidRPr="009620E0" w:rsidRDefault="00865420">
            <w:pPr>
              <w:spacing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Số lượt hành khách</w:t>
            </w:r>
          </w:p>
        </w:tc>
        <w:tc>
          <w:tcPr>
            <w:tcW w:w="3268" w:type="dxa"/>
            <w:gridSpan w:val="2"/>
            <w:tcBorders>
              <w:top w:val="single" w:sz="4" w:space="0" w:color="auto"/>
              <w:left w:val="nil"/>
              <w:bottom w:val="single" w:sz="4" w:space="0" w:color="auto"/>
              <w:right w:val="nil"/>
            </w:tcBorders>
            <w:vAlign w:val="center"/>
            <w:hideMark/>
          </w:tcPr>
          <w:p w14:paraId="5496B30D" w14:textId="77777777" w:rsidR="00865420" w:rsidRPr="009620E0" w:rsidRDefault="00865420">
            <w:pPr>
              <w:spacing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Tốc độ tăng so với</w:t>
            </w:r>
            <w:r w:rsidRPr="009620E0">
              <w:rPr>
                <w:rFonts w:ascii="Arial" w:hAnsi="Arial" w:cs="Arial"/>
                <w:kern w:val="2"/>
                <w:sz w:val="20"/>
                <w:szCs w:val="20"/>
                <w:lang w:eastAsia="vi-VN"/>
                <w14:ligatures w14:val="standardContextual"/>
              </w:rPr>
              <w:br/>
              <w:t>cùng kỳ năm trước (%)</w:t>
            </w:r>
          </w:p>
        </w:tc>
      </w:tr>
      <w:tr w:rsidR="009620E0" w:rsidRPr="009620E0" w14:paraId="55502960" w14:textId="77777777" w:rsidTr="00865420">
        <w:trPr>
          <w:trHeight w:val="512"/>
          <w:jc w:val="center"/>
        </w:trPr>
        <w:tc>
          <w:tcPr>
            <w:tcW w:w="2203" w:type="dxa"/>
            <w:vAlign w:val="center"/>
            <w:hideMark/>
          </w:tcPr>
          <w:p w14:paraId="5F577E0A" w14:textId="77777777" w:rsidR="00865420" w:rsidRPr="009620E0" w:rsidRDefault="00865420">
            <w:pPr>
              <w:rPr>
                <w:rFonts w:ascii="Arial" w:hAnsi="Arial" w:cs="Arial"/>
                <w:kern w:val="2"/>
                <w:sz w:val="20"/>
                <w:szCs w:val="20"/>
                <w:lang w:eastAsia="vi-VN"/>
                <w14:ligatures w14:val="standardContextual"/>
              </w:rPr>
            </w:pPr>
          </w:p>
        </w:tc>
        <w:tc>
          <w:tcPr>
            <w:tcW w:w="1805" w:type="dxa"/>
            <w:tcBorders>
              <w:top w:val="single" w:sz="4" w:space="0" w:color="auto"/>
              <w:left w:val="nil"/>
              <w:bottom w:val="single" w:sz="4" w:space="0" w:color="auto"/>
              <w:right w:val="nil"/>
            </w:tcBorders>
            <w:vAlign w:val="center"/>
            <w:hideMark/>
          </w:tcPr>
          <w:p w14:paraId="3A8B1F3F" w14:textId="77777777" w:rsidR="00865420" w:rsidRPr="009620E0" w:rsidRDefault="00865420">
            <w:pPr>
              <w:spacing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Vận chuyển</w:t>
            </w:r>
            <w:r w:rsidRPr="009620E0">
              <w:rPr>
                <w:rFonts w:ascii="Arial" w:hAnsi="Arial" w:cs="Arial"/>
                <w:kern w:val="2"/>
                <w:sz w:val="20"/>
                <w:szCs w:val="20"/>
                <w:lang w:eastAsia="vi-VN"/>
                <w14:ligatures w14:val="standardContextual"/>
              </w:rPr>
              <w:br/>
              <w:t>(Triệu HK)</w:t>
            </w:r>
          </w:p>
        </w:tc>
        <w:tc>
          <w:tcPr>
            <w:tcW w:w="1873" w:type="dxa"/>
            <w:tcBorders>
              <w:top w:val="single" w:sz="4" w:space="0" w:color="auto"/>
              <w:left w:val="nil"/>
              <w:bottom w:val="single" w:sz="4" w:space="0" w:color="auto"/>
              <w:right w:val="nil"/>
            </w:tcBorders>
            <w:vAlign w:val="center"/>
            <w:hideMark/>
          </w:tcPr>
          <w:p w14:paraId="063A9705" w14:textId="77777777" w:rsidR="00865420" w:rsidRPr="009620E0" w:rsidRDefault="00865420">
            <w:pPr>
              <w:spacing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Luân chuyển</w:t>
            </w:r>
            <w:r w:rsidRPr="009620E0">
              <w:rPr>
                <w:rFonts w:ascii="Arial" w:hAnsi="Arial" w:cs="Arial"/>
                <w:kern w:val="2"/>
                <w:sz w:val="20"/>
                <w:szCs w:val="20"/>
                <w:lang w:eastAsia="vi-VN"/>
                <w14:ligatures w14:val="standardContextual"/>
              </w:rPr>
              <w:br/>
              <w:t>(Tỷ HK.km)</w:t>
            </w:r>
          </w:p>
        </w:tc>
        <w:tc>
          <w:tcPr>
            <w:tcW w:w="1768" w:type="dxa"/>
            <w:tcBorders>
              <w:top w:val="single" w:sz="4" w:space="0" w:color="auto"/>
              <w:left w:val="nil"/>
              <w:bottom w:val="single" w:sz="4" w:space="0" w:color="auto"/>
              <w:right w:val="nil"/>
            </w:tcBorders>
            <w:vAlign w:val="center"/>
            <w:hideMark/>
          </w:tcPr>
          <w:p w14:paraId="10C05A35" w14:textId="77777777" w:rsidR="00865420" w:rsidRPr="009620E0" w:rsidRDefault="00865420">
            <w:pPr>
              <w:spacing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Vận chuyển</w:t>
            </w:r>
          </w:p>
        </w:tc>
        <w:tc>
          <w:tcPr>
            <w:tcW w:w="1500" w:type="dxa"/>
            <w:tcBorders>
              <w:top w:val="single" w:sz="4" w:space="0" w:color="auto"/>
              <w:left w:val="nil"/>
              <w:bottom w:val="single" w:sz="4" w:space="0" w:color="auto"/>
              <w:right w:val="nil"/>
            </w:tcBorders>
            <w:vAlign w:val="center"/>
            <w:hideMark/>
          </w:tcPr>
          <w:p w14:paraId="3E51705B" w14:textId="77777777" w:rsidR="00865420" w:rsidRPr="009620E0" w:rsidRDefault="00865420">
            <w:pPr>
              <w:spacing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Luân chuyển</w:t>
            </w:r>
          </w:p>
        </w:tc>
      </w:tr>
      <w:tr w:rsidR="009620E0" w:rsidRPr="009620E0" w14:paraId="2E69A3EE" w14:textId="77777777" w:rsidTr="00865420">
        <w:trPr>
          <w:trHeight w:val="360"/>
          <w:jc w:val="center"/>
        </w:trPr>
        <w:tc>
          <w:tcPr>
            <w:tcW w:w="2203" w:type="dxa"/>
            <w:noWrap/>
            <w:vAlign w:val="center"/>
            <w:hideMark/>
          </w:tcPr>
          <w:p w14:paraId="7F502B4D" w14:textId="77777777" w:rsidR="00865420" w:rsidRPr="009620E0" w:rsidRDefault="00865420">
            <w:pPr>
              <w:spacing w:before="120" w:line="256" w:lineRule="auto"/>
              <w:rPr>
                <w:rFonts w:ascii="Arial" w:hAnsi="Arial" w:cs="Arial"/>
                <w:b/>
                <w:bCs/>
                <w:kern w:val="2"/>
                <w:sz w:val="20"/>
                <w:szCs w:val="20"/>
                <w:lang w:eastAsia="vi-VN"/>
                <w14:ligatures w14:val="standardContextual"/>
              </w:rPr>
            </w:pPr>
            <w:r w:rsidRPr="009620E0">
              <w:rPr>
                <w:rFonts w:ascii="Arial" w:hAnsi="Arial" w:cs="Arial"/>
                <w:b/>
                <w:bCs/>
                <w:kern w:val="2"/>
                <w:sz w:val="20"/>
                <w:szCs w:val="20"/>
                <w:lang w:eastAsia="vi-VN"/>
                <w14:ligatures w14:val="standardContextual"/>
              </w:rPr>
              <w:t>Tổng số</w:t>
            </w:r>
          </w:p>
        </w:tc>
        <w:tc>
          <w:tcPr>
            <w:tcW w:w="1805" w:type="dxa"/>
            <w:tcBorders>
              <w:top w:val="single" w:sz="4" w:space="0" w:color="auto"/>
              <w:left w:val="nil"/>
              <w:bottom w:val="nil"/>
              <w:right w:val="nil"/>
            </w:tcBorders>
            <w:noWrap/>
            <w:vAlign w:val="center"/>
            <w:hideMark/>
          </w:tcPr>
          <w:p w14:paraId="419A2A99" w14:textId="77777777" w:rsidR="00865420" w:rsidRPr="009620E0" w:rsidRDefault="00865420">
            <w:pPr>
              <w:spacing w:before="120" w:line="256" w:lineRule="auto"/>
              <w:ind w:right="502"/>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809,1</w:t>
            </w:r>
          </w:p>
        </w:tc>
        <w:tc>
          <w:tcPr>
            <w:tcW w:w="1873" w:type="dxa"/>
            <w:tcBorders>
              <w:top w:val="single" w:sz="4" w:space="0" w:color="auto"/>
              <w:left w:val="nil"/>
              <w:bottom w:val="nil"/>
              <w:right w:val="nil"/>
            </w:tcBorders>
            <w:noWrap/>
            <w:vAlign w:val="center"/>
            <w:hideMark/>
          </w:tcPr>
          <w:p w14:paraId="526112B6" w14:textId="77777777" w:rsidR="00865420" w:rsidRPr="009620E0" w:rsidRDefault="00865420">
            <w:pPr>
              <w:spacing w:before="120" w:line="256" w:lineRule="auto"/>
              <w:ind w:right="502"/>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45,2</w:t>
            </w:r>
          </w:p>
        </w:tc>
        <w:tc>
          <w:tcPr>
            <w:tcW w:w="1768" w:type="dxa"/>
            <w:tcBorders>
              <w:top w:val="single" w:sz="4" w:space="0" w:color="auto"/>
              <w:left w:val="nil"/>
              <w:bottom w:val="nil"/>
              <w:right w:val="nil"/>
            </w:tcBorders>
            <w:noWrap/>
            <w:vAlign w:val="center"/>
            <w:hideMark/>
          </w:tcPr>
          <w:p w14:paraId="7117B5DE" w14:textId="77777777" w:rsidR="00865420" w:rsidRPr="009620E0" w:rsidRDefault="00865420">
            <w:pPr>
              <w:spacing w:before="120" w:line="256" w:lineRule="auto"/>
              <w:ind w:right="502"/>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9,2</w:t>
            </w:r>
          </w:p>
        </w:tc>
        <w:tc>
          <w:tcPr>
            <w:tcW w:w="1500" w:type="dxa"/>
            <w:tcBorders>
              <w:top w:val="single" w:sz="4" w:space="0" w:color="auto"/>
              <w:left w:val="nil"/>
              <w:bottom w:val="nil"/>
              <w:right w:val="nil"/>
            </w:tcBorders>
            <w:noWrap/>
            <w:vAlign w:val="center"/>
            <w:hideMark/>
          </w:tcPr>
          <w:p w14:paraId="35A8F91D" w14:textId="77777777" w:rsidR="00865420" w:rsidRPr="009620E0" w:rsidRDefault="00865420">
            <w:pPr>
              <w:spacing w:before="120" w:line="256" w:lineRule="auto"/>
              <w:ind w:right="502"/>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11,8</w:t>
            </w:r>
          </w:p>
        </w:tc>
      </w:tr>
      <w:tr w:rsidR="009620E0" w:rsidRPr="009620E0" w14:paraId="6347D984" w14:textId="77777777" w:rsidTr="00865420">
        <w:trPr>
          <w:trHeight w:val="299"/>
          <w:jc w:val="center"/>
        </w:trPr>
        <w:tc>
          <w:tcPr>
            <w:tcW w:w="2203" w:type="dxa"/>
            <w:noWrap/>
            <w:vAlign w:val="center"/>
            <w:hideMark/>
          </w:tcPr>
          <w:p w14:paraId="25C2A57F" w14:textId="77777777" w:rsidR="00865420" w:rsidRPr="009620E0" w:rsidRDefault="00865420">
            <w:pPr>
              <w:tabs>
                <w:tab w:val="left" w:pos="407"/>
              </w:tabs>
              <w:spacing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sắt</w:t>
            </w:r>
          </w:p>
        </w:tc>
        <w:tc>
          <w:tcPr>
            <w:tcW w:w="1805" w:type="dxa"/>
            <w:noWrap/>
            <w:vAlign w:val="center"/>
            <w:hideMark/>
          </w:tcPr>
          <w:p w14:paraId="3753D047"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1,3</w:t>
            </w:r>
          </w:p>
        </w:tc>
        <w:tc>
          <w:tcPr>
            <w:tcW w:w="1873" w:type="dxa"/>
            <w:noWrap/>
            <w:vAlign w:val="center"/>
            <w:hideMark/>
          </w:tcPr>
          <w:p w14:paraId="256A1726"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0,5</w:t>
            </w:r>
          </w:p>
        </w:tc>
        <w:tc>
          <w:tcPr>
            <w:tcW w:w="1768" w:type="dxa"/>
            <w:noWrap/>
            <w:vAlign w:val="center"/>
            <w:hideMark/>
          </w:tcPr>
          <w:p w14:paraId="7206E119"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19,0</w:t>
            </w:r>
          </w:p>
        </w:tc>
        <w:tc>
          <w:tcPr>
            <w:tcW w:w="1500" w:type="dxa"/>
            <w:noWrap/>
            <w:vAlign w:val="center"/>
            <w:hideMark/>
          </w:tcPr>
          <w:p w14:paraId="0CF66330"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18,9</w:t>
            </w:r>
          </w:p>
        </w:tc>
      </w:tr>
      <w:tr w:rsidR="009620E0" w:rsidRPr="009620E0" w14:paraId="167F9D28" w14:textId="77777777" w:rsidTr="00865420">
        <w:trPr>
          <w:trHeight w:val="299"/>
          <w:jc w:val="center"/>
        </w:trPr>
        <w:tc>
          <w:tcPr>
            <w:tcW w:w="2203" w:type="dxa"/>
            <w:noWrap/>
            <w:vAlign w:val="center"/>
            <w:hideMark/>
          </w:tcPr>
          <w:p w14:paraId="567075D1" w14:textId="77777777" w:rsidR="00865420" w:rsidRPr="009620E0" w:rsidRDefault="00865420">
            <w:pPr>
              <w:tabs>
                <w:tab w:val="left" w:pos="407"/>
              </w:tabs>
              <w:spacing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biển</w:t>
            </w:r>
          </w:p>
        </w:tc>
        <w:tc>
          <w:tcPr>
            <w:tcW w:w="1805" w:type="dxa"/>
            <w:noWrap/>
            <w:vAlign w:val="center"/>
            <w:hideMark/>
          </w:tcPr>
          <w:p w14:paraId="3364BD1A"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4,0</w:t>
            </w:r>
          </w:p>
        </w:tc>
        <w:tc>
          <w:tcPr>
            <w:tcW w:w="1873" w:type="dxa"/>
            <w:noWrap/>
            <w:vAlign w:val="center"/>
            <w:hideMark/>
          </w:tcPr>
          <w:p w14:paraId="3AB750AF"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0,2</w:t>
            </w:r>
          </w:p>
        </w:tc>
        <w:tc>
          <w:tcPr>
            <w:tcW w:w="1768" w:type="dxa"/>
            <w:noWrap/>
            <w:vAlign w:val="center"/>
            <w:hideMark/>
          </w:tcPr>
          <w:p w14:paraId="259F12EE"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10,2</w:t>
            </w:r>
          </w:p>
        </w:tc>
        <w:tc>
          <w:tcPr>
            <w:tcW w:w="1500" w:type="dxa"/>
            <w:noWrap/>
            <w:vAlign w:val="center"/>
            <w:hideMark/>
          </w:tcPr>
          <w:p w14:paraId="62A607A1"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16,4</w:t>
            </w:r>
          </w:p>
        </w:tc>
      </w:tr>
      <w:tr w:rsidR="009620E0" w:rsidRPr="009620E0" w14:paraId="1305FE92" w14:textId="77777777" w:rsidTr="00865420">
        <w:trPr>
          <w:trHeight w:val="299"/>
          <w:jc w:val="center"/>
        </w:trPr>
        <w:tc>
          <w:tcPr>
            <w:tcW w:w="2203" w:type="dxa"/>
            <w:noWrap/>
            <w:vAlign w:val="center"/>
            <w:hideMark/>
          </w:tcPr>
          <w:p w14:paraId="38BCD010" w14:textId="77777777" w:rsidR="00865420" w:rsidRPr="009620E0" w:rsidRDefault="00865420">
            <w:pPr>
              <w:tabs>
                <w:tab w:val="left" w:pos="407"/>
              </w:tabs>
              <w:spacing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thủy nội địa</w:t>
            </w:r>
          </w:p>
        </w:tc>
        <w:tc>
          <w:tcPr>
            <w:tcW w:w="1805" w:type="dxa"/>
            <w:noWrap/>
            <w:vAlign w:val="center"/>
            <w:hideMark/>
          </w:tcPr>
          <w:p w14:paraId="3E86C90F"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61,4</w:t>
            </w:r>
          </w:p>
        </w:tc>
        <w:tc>
          <w:tcPr>
            <w:tcW w:w="1873" w:type="dxa"/>
            <w:noWrap/>
            <w:vAlign w:val="center"/>
            <w:hideMark/>
          </w:tcPr>
          <w:p w14:paraId="53DC16B8"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1,1</w:t>
            </w:r>
          </w:p>
        </w:tc>
        <w:tc>
          <w:tcPr>
            <w:tcW w:w="1768" w:type="dxa"/>
            <w:noWrap/>
            <w:vAlign w:val="center"/>
            <w:hideMark/>
          </w:tcPr>
          <w:p w14:paraId="3D607B9E"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6,4</w:t>
            </w:r>
          </w:p>
        </w:tc>
        <w:tc>
          <w:tcPr>
            <w:tcW w:w="1500" w:type="dxa"/>
            <w:noWrap/>
            <w:vAlign w:val="center"/>
            <w:hideMark/>
          </w:tcPr>
          <w:p w14:paraId="39733005"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11,4</w:t>
            </w:r>
          </w:p>
        </w:tc>
      </w:tr>
      <w:tr w:rsidR="009620E0" w:rsidRPr="009620E0" w14:paraId="2B8B62CB" w14:textId="77777777" w:rsidTr="00865420">
        <w:trPr>
          <w:trHeight w:val="237"/>
          <w:jc w:val="center"/>
        </w:trPr>
        <w:tc>
          <w:tcPr>
            <w:tcW w:w="2203" w:type="dxa"/>
            <w:noWrap/>
            <w:vAlign w:val="center"/>
            <w:hideMark/>
          </w:tcPr>
          <w:p w14:paraId="6803D6D7" w14:textId="77777777" w:rsidR="00865420" w:rsidRPr="009620E0" w:rsidRDefault="00865420">
            <w:pPr>
              <w:tabs>
                <w:tab w:val="left" w:pos="407"/>
              </w:tabs>
              <w:spacing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bộ</w:t>
            </w:r>
          </w:p>
        </w:tc>
        <w:tc>
          <w:tcPr>
            <w:tcW w:w="1805" w:type="dxa"/>
            <w:noWrap/>
            <w:vAlign w:val="center"/>
            <w:hideMark/>
          </w:tcPr>
          <w:p w14:paraId="7655F1F5"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733,1</w:t>
            </w:r>
          </w:p>
        </w:tc>
        <w:tc>
          <w:tcPr>
            <w:tcW w:w="1873" w:type="dxa"/>
            <w:noWrap/>
            <w:vAlign w:val="center"/>
            <w:hideMark/>
          </w:tcPr>
          <w:p w14:paraId="5A304DDF"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28,2</w:t>
            </w:r>
          </w:p>
        </w:tc>
        <w:tc>
          <w:tcPr>
            <w:tcW w:w="1768" w:type="dxa"/>
            <w:noWrap/>
            <w:vAlign w:val="center"/>
            <w:hideMark/>
          </w:tcPr>
          <w:p w14:paraId="0A28463F"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9,5</w:t>
            </w:r>
          </w:p>
        </w:tc>
        <w:tc>
          <w:tcPr>
            <w:tcW w:w="1500" w:type="dxa"/>
            <w:noWrap/>
            <w:vAlign w:val="center"/>
            <w:hideMark/>
          </w:tcPr>
          <w:p w14:paraId="461B9762"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8,6</w:t>
            </w:r>
          </w:p>
        </w:tc>
      </w:tr>
      <w:tr w:rsidR="009620E0" w:rsidRPr="009620E0" w14:paraId="54F823E2" w14:textId="77777777" w:rsidTr="00865420">
        <w:trPr>
          <w:trHeight w:val="299"/>
          <w:jc w:val="center"/>
        </w:trPr>
        <w:tc>
          <w:tcPr>
            <w:tcW w:w="2203" w:type="dxa"/>
            <w:tcBorders>
              <w:top w:val="nil"/>
              <w:left w:val="nil"/>
              <w:bottom w:val="single" w:sz="4" w:space="0" w:color="auto"/>
              <w:right w:val="nil"/>
            </w:tcBorders>
            <w:noWrap/>
            <w:vAlign w:val="center"/>
            <w:hideMark/>
          </w:tcPr>
          <w:p w14:paraId="1D59D792" w14:textId="77777777" w:rsidR="00865420" w:rsidRPr="009620E0" w:rsidRDefault="00865420">
            <w:pPr>
              <w:tabs>
                <w:tab w:val="left" w:pos="407"/>
              </w:tabs>
              <w:spacing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Hàng không</w:t>
            </w:r>
          </w:p>
        </w:tc>
        <w:tc>
          <w:tcPr>
            <w:tcW w:w="1805" w:type="dxa"/>
            <w:tcBorders>
              <w:top w:val="nil"/>
              <w:left w:val="nil"/>
              <w:bottom w:val="single" w:sz="4" w:space="0" w:color="auto"/>
              <w:right w:val="nil"/>
            </w:tcBorders>
            <w:noWrap/>
            <w:vAlign w:val="center"/>
            <w:hideMark/>
          </w:tcPr>
          <w:p w14:paraId="1AAFBD01"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9,3</w:t>
            </w:r>
          </w:p>
        </w:tc>
        <w:tc>
          <w:tcPr>
            <w:tcW w:w="1873" w:type="dxa"/>
            <w:tcBorders>
              <w:top w:val="nil"/>
              <w:left w:val="nil"/>
              <w:bottom w:val="single" w:sz="4" w:space="0" w:color="auto"/>
              <w:right w:val="nil"/>
            </w:tcBorders>
            <w:noWrap/>
            <w:vAlign w:val="center"/>
            <w:hideMark/>
          </w:tcPr>
          <w:p w14:paraId="62F29558"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15,2</w:t>
            </w:r>
          </w:p>
        </w:tc>
        <w:tc>
          <w:tcPr>
            <w:tcW w:w="1768" w:type="dxa"/>
            <w:tcBorders>
              <w:top w:val="nil"/>
              <w:left w:val="nil"/>
              <w:bottom w:val="single" w:sz="4" w:space="0" w:color="auto"/>
              <w:right w:val="nil"/>
            </w:tcBorders>
            <w:noWrap/>
            <w:vAlign w:val="center"/>
            <w:hideMark/>
          </w:tcPr>
          <w:p w14:paraId="0F5843D6"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0,5</w:t>
            </w:r>
          </w:p>
        </w:tc>
        <w:tc>
          <w:tcPr>
            <w:tcW w:w="1500" w:type="dxa"/>
            <w:tcBorders>
              <w:top w:val="nil"/>
              <w:left w:val="nil"/>
              <w:bottom w:val="single" w:sz="4" w:space="0" w:color="auto"/>
              <w:right w:val="nil"/>
            </w:tcBorders>
            <w:noWrap/>
            <w:vAlign w:val="center"/>
            <w:hideMark/>
          </w:tcPr>
          <w:p w14:paraId="482F2DAD" w14:textId="77777777" w:rsidR="00865420" w:rsidRPr="009620E0" w:rsidRDefault="00865420">
            <w:pPr>
              <w:spacing w:line="256" w:lineRule="auto"/>
              <w:ind w:right="502"/>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17,9</w:t>
            </w:r>
          </w:p>
        </w:tc>
      </w:tr>
    </w:tbl>
    <w:p w14:paraId="4E856D5E" w14:textId="42404D5D" w:rsidR="00865420" w:rsidRPr="009620E0" w:rsidRDefault="00865420" w:rsidP="00A20988">
      <w:pPr>
        <w:spacing w:after="120" w:line="276" w:lineRule="auto"/>
        <w:ind w:firstLine="567"/>
        <w:jc w:val="both"/>
      </w:pPr>
      <w:r w:rsidRPr="009620E0">
        <w:rPr>
          <w:i/>
        </w:rPr>
        <w:lastRenderedPageBreak/>
        <w:t>Vận tải hàng hóa</w:t>
      </w:r>
      <w:r w:rsidRPr="009620E0">
        <w:t xml:space="preserve"> tháng 02/2024 ước đạt 205,5 triệu tấn hàng hóa vận chuyển, giảm 2,2% và luân chuyển 41,1 tỷ tấn.km, giảm 12% so với tháng trước do hoạt động vận chuyển hàng hóa phục vụ Tết </w:t>
      </w:r>
      <w:r w:rsidR="00280F5D" w:rsidRPr="009620E0">
        <w:t xml:space="preserve">Nguyên đán </w:t>
      </w:r>
      <w:r w:rsidRPr="009620E0">
        <w:t xml:space="preserve">chủ yếu diễn ra từ tháng Một và số ngày làm việc trong tháng </w:t>
      </w:r>
      <w:r w:rsidR="00BE06EE" w:rsidRPr="009620E0">
        <w:t xml:space="preserve">Hai </w:t>
      </w:r>
      <w:r w:rsidRPr="009620E0">
        <w:t xml:space="preserve">của các hãng vận chuyển ít hơn tháng trước </w:t>
      </w:r>
      <w:r w:rsidR="00BE06EE" w:rsidRPr="009620E0">
        <w:t xml:space="preserve">do </w:t>
      </w:r>
      <w:r w:rsidRPr="009620E0">
        <w:t xml:space="preserve">toàn bộ số ngày nghỉ Tết Nguyên đán đều trong tháng Hai. Tính chung </w:t>
      </w:r>
      <w:r w:rsidR="00E110EA" w:rsidRPr="009620E0">
        <w:t>2</w:t>
      </w:r>
      <w:r w:rsidRPr="009620E0">
        <w:t xml:space="preserve"> tháng đầu năm 2024, vận tải hàng hóa ước đạt 415,8 triệu tấn hàng hóa vận chuyển, tăng 13,9% so với cùng kỳ năm trước và luân chuyển 87,9 tỷ tấn.km, tăng 14%. Trong đó, vận tải trong nước ước đạt 408,1 triệu tấn vận chuyển, tăng 14,1% và 54,9 tỷ tấn.km luân chuyển, tăng 13,8% so với cùng kỳ năm trước; vận tải ngoài nước ước đạt 7,7 triệu tấn vận chuyển, tăng 6,6% và 33 tỷ tấn.km luân chuyển, tăng 14,2%.</w:t>
      </w:r>
    </w:p>
    <w:p w14:paraId="6FC187F0" w14:textId="27E8A9F6" w:rsidR="00865420" w:rsidRPr="009620E0" w:rsidRDefault="00865420" w:rsidP="00A20988">
      <w:pPr>
        <w:spacing w:after="120" w:line="276" w:lineRule="auto"/>
        <w:ind w:firstLine="567"/>
        <w:jc w:val="both"/>
        <w:rPr>
          <w:lang w:val="it-IT"/>
        </w:rPr>
      </w:pPr>
      <w:r w:rsidRPr="009620E0">
        <w:t xml:space="preserve">Xét theo ngành vận tải, hầu hết các ngành đường </w:t>
      </w:r>
      <w:r w:rsidR="00E110EA" w:rsidRPr="009620E0">
        <w:t>2</w:t>
      </w:r>
      <w:r w:rsidRPr="009620E0">
        <w:t xml:space="preserve"> tháng đầu năm 2024 có tốc độ tăng tích cực so với cùng kỳ năm trước do </w:t>
      </w:r>
      <w:r w:rsidRPr="009620E0">
        <w:rPr>
          <w:bCs/>
          <w:lang w:val="it-IT"/>
        </w:rPr>
        <w:t xml:space="preserve">vận chuyển hàng hóa phục vụ nhu cầu sản xuất, tiêu dùng trong nước tăng. </w:t>
      </w:r>
      <w:r w:rsidRPr="009620E0">
        <w:rPr>
          <w:lang w:val="it-IT"/>
        </w:rPr>
        <w:t>Riêng vận tải hàng hóa đường sắt gặp nhiều khó khăn khi cạnh tranh với các ngành đường khác.</w:t>
      </w:r>
    </w:p>
    <w:p w14:paraId="6E88E564" w14:textId="63F7EEFE" w:rsidR="00865420" w:rsidRPr="009620E0" w:rsidRDefault="00865420" w:rsidP="00865420">
      <w:pPr>
        <w:spacing w:before="120" w:after="120" w:line="288" w:lineRule="auto"/>
        <w:ind w:firstLine="567"/>
        <w:jc w:val="both"/>
        <w:rPr>
          <w:rFonts w:ascii="Arial" w:hAnsi="Arial" w:cs="Arial"/>
          <w:b/>
          <w:bCs/>
          <w:sz w:val="24"/>
          <w:szCs w:val="24"/>
          <w:lang w:val="pl-PL"/>
        </w:rPr>
      </w:pPr>
      <w:r w:rsidRPr="009620E0">
        <w:rPr>
          <w:rFonts w:ascii="Arial" w:hAnsi="Arial" w:cs="Arial"/>
          <w:b/>
          <w:sz w:val="24"/>
          <w:szCs w:val="24"/>
          <w:lang w:val="pl-PL"/>
        </w:rPr>
        <w:t xml:space="preserve">Biểu 7. </w:t>
      </w:r>
      <w:r w:rsidRPr="009620E0">
        <w:rPr>
          <w:rFonts w:ascii="Arial" w:hAnsi="Arial" w:cs="Arial"/>
          <w:b/>
          <w:bCs/>
          <w:sz w:val="24"/>
          <w:szCs w:val="24"/>
          <w:lang w:val="pl-PL"/>
        </w:rPr>
        <w:t xml:space="preserve">Vận tải hàng hóa </w:t>
      </w:r>
      <w:r w:rsidR="00E110EA" w:rsidRPr="009620E0">
        <w:rPr>
          <w:rFonts w:ascii="Arial" w:hAnsi="Arial" w:cs="Arial"/>
          <w:b/>
          <w:bCs/>
          <w:sz w:val="24"/>
          <w:szCs w:val="24"/>
          <w:lang w:val="pl-PL"/>
        </w:rPr>
        <w:t>2</w:t>
      </w:r>
      <w:r w:rsidRPr="009620E0">
        <w:rPr>
          <w:rFonts w:ascii="Arial" w:hAnsi="Arial" w:cs="Arial"/>
          <w:b/>
          <w:bCs/>
          <w:sz w:val="24"/>
          <w:szCs w:val="24"/>
          <w:lang w:val="pl-PL"/>
        </w:rPr>
        <w:t xml:space="preserve"> tháng đầu năm 2024 phân theo ngành vận tải</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782"/>
        <w:gridCol w:w="1846"/>
        <w:gridCol w:w="1747"/>
        <w:gridCol w:w="1478"/>
      </w:tblGrid>
      <w:tr w:rsidR="009620E0" w:rsidRPr="009620E0" w14:paraId="45C6546E" w14:textId="77777777" w:rsidTr="00865420">
        <w:trPr>
          <w:trHeight w:val="337"/>
          <w:jc w:val="center"/>
        </w:trPr>
        <w:tc>
          <w:tcPr>
            <w:tcW w:w="2175" w:type="dxa"/>
            <w:tcBorders>
              <w:top w:val="single" w:sz="4" w:space="0" w:color="auto"/>
              <w:left w:val="nil"/>
              <w:bottom w:val="nil"/>
              <w:right w:val="nil"/>
            </w:tcBorders>
            <w:vAlign w:val="center"/>
            <w:hideMark/>
          </w:tcPr>
          <w:p w14:paraId="14D51A0D" w14:textId="77777777" w:rsidR="00865420" w:rsidRPr="009620E0" w:rsidRDefault="00865420">
            <w:pPr>
              <w:rPr>
                <w:rFonts w:ascii="Arial" w:hAnsi="Arial" w:cs="Arial"/>
                <w:b/>
                <w:bCs/>
                <w:sz w:val="24"/>
                <w:szCs w:val="24"/>
                <w:lang w:val="pl-PL"/>
              </w:rPr>
            </w:pPr>
          </w:p>
        </w:tc>
        <w:tc>
          <w:tcPr>
            <w:tcW w:w="3628" w:type="dxa"/>
            <w:gridSpan w:val="2"/>
            <w:tcBorders>
              <w:top w:val="single" w:sz="4" w:space="0" w:color="auto"/>
              <w:left w:val="nil"/>
              <w:bottom w:val="single" w:sz="4" w:space="0" w:color="auto"/>
              <w:right w:val="nil"/>
            </w:tcBorders>
            <w:vAlign w:val="center"/>
            <w:hideMark/>
          </w:tcPr>
          <w:p w14:paraId="4E552DC7" w14:textId="77777777" w:rsidR="00865420" w:rsidRPr="009620E0" w:rsidRDefault="00865420">
            <w:pPr>
              <w:spacing w:before="40" w:after="40"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Sản lượng hàng hóa</w:t>
            </w:r>
          </w:p>
        </w:tc>
        <w:tc>
          <w:tcPr>
            <w:tcW w:w="3225" w:type="dxa"/>
            <w:gridSpan w:val="2"/>
            <w:tcBorders>
              <w:top w:val="single" w:sz="4" w:space="0" w:color="auto"/>
              <w:left w:val="nil"/>
              <w:bottom w:val="single" w:sz="4" w:space="0" w:color="auto"/>
              <w:right w:val="nil"/>
            </w:tcBorders>
            <w:vAlign w:val="center"/>
            <w:hideMark/>
          </w:tcPr>
          <w:p w14:paraId="34CA08F4" w14:textId="77777777" w:rsidR="00865420" w:rsidRPr="009620E0" w:rsidRDefault="00865420">
            <w:pPr>
              <w:spacing w:before="40" w:after="40"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Tốc độ tăng/giảm so với</w:t>
            </w:r>
            <w:r w:rsidRPr="009620E0">
              <w:rPr>
                <w:rFonts w:ascii="Arial" w:hAnsi="Arial" w:cs="Arial"/>
                <w:kern w:val="2"/>
                <w:sz w:val="20"/>
                <w:szCs w:val="20"/>
                <w:lang w:eastAsia="vi-VN"/>
                <w14:ligatures w14:val="standardContextual"/>
              </w:rPr>
              <w:br/>
              <w:t>cùng kỳ năm trước (%)</w:t>
            </w:r>
          </w:p>
        </w:tc>
      </w:tr>
      <w:tr w:rsidR="009620E0" w:rsidRPr="009620E0" w14:paraId="7D378A45" w14:textId="77777777" w:rsidTr="00865420">
        <w:trPr>
          <w:trHeight w:val="296"/>
          <w:jc w:val="center"/>
        </w:trPr>
        <w:tc>
          <w:tcPr>
            <w:tcW w:w="2175" w:type="dxa"/>
            <w:tcBorders>
              <w:top w:val="nil"/>
              <w:left w:val="nil"/>
              <w:bottom w:val="single" w:sz="4" w:space="0" w:color="auto"/>
              <w:right w:val="nil"/>
            </w:tcBorders>
            <w:vAlign w:val="center"/>
            <w:hideMark/>
          </w:tcPr>
          <w:p w14:paraId="64A1C6FE" w14:textId="77777777" w:rsidR="00865420" w:rsidRPr="009620E0" w:rsidRDefault="00865420">
            <w:pPr>
              <w:rPr>
                <w:rFonts w:ascii="Arial" w:hAnsi="Arial" w:cs="Arial"/>
                <w:kern w:val="2"/>
                <w:sz w:val="20"/>
                <w:szCs w:val="20"/>
                <w:lang w:eastAsia="vi-VN"/>
                <w14:ligatures w14:val="standardContextual"/>
              </w:rPr>
            </w:pPr>
          </w:p>
        </w:tc>
        <w:tc>
          <w:tcPr>
            <w:tcW w:w="1782" w:type="dxa"/>
            <w:tcBorders>
              <w:top w:val="single" w:sz="4" w:space="0" w:color="auto"/>
              <w:left w:val="nil"/>
              <w:bottom w:val="single" w:sz="4" w:space="0" w:color="auto"/>
              <w:right w:val="nil"/>
            </w:tcBorders>
            <w:vAlign w:val="center"/>
            <w:hideMark/>
          </w:tcPr>
          <w:p w14:paraId="2D5BDF9B" w14:textId="77777777" w:rsidR="00865420" w:rsidRPr="009620E0" w:rsidRDefault="00865420">
            <w:pPr>
              <w:spacing w:before="40" w:after="40"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Vận chuyển</w:t>
            </w:r>
            <w:r w:rsidRPr="009620E0">
              <w:rPr>
                <w:rFonts w:ascii="Arial" w:hAnsi="Arial" w:cs="Arial"/>
                <w:kern w:val="2"/>
                <w:sz w:val="20"/>
                <w:szCs w:val="20"/>
                <w:lang w:eastAsia="vi-VN"/>
                <w14:ligatures w14:val="standardContextual"/>
              </w:rPr>
              <w:br/>
              <w:t>(Triệu tấn)</w:t>
            </w:r>
          </w:p>
        </w:tc>
        <w:tc>
          <w:tcPr>
            <w:tcW w:w="1846" w:type="dxa"/>
            <w:tcBorders>
              <w:top w:val="single" w:sz="4" w:space="0" w:color="auto"/>
              <w:left w:val="nil"/>
              <w:bottom w:val="single" w:sz="4" w:space="0" w:color="auto"/>
              <w:right w:val="nil"/>
            </w:tcBorders>
            <w:vAlign w:val="center"/>
            <w:hideMark/>
          </w:tcPr>
          <w:p w14:paraId="389E1546" w14:textId="77777777" w:rsidR="00865420" w:rsidRPr="009620E0" w:rsidRDefault="00865420">
            <w:pPr>
              <w:spacing w:before="40" w:after="40"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Luân chuyển</w:t>
            </w:r>
            <w:r w:rsidRPr="009620E0">
              <w:rPr>
                <w:rFonts w:ascii="Arial" w:hAnsi="Arial" w:cs="Arial"/>
                <w:kern w:val="2"/>
                <w:sz w:val="20"/>
                <w:szCs w:val="20"/>
                <w:lang w:eastAsia="vi-VN"/>
                <w14:ligatures w14:val="standardContextual"/>
              </w:rPr>
              <w:br/>
              <w:t>(Tỷ tấn.km)</w:t>
            </w:r>
          </w:p>
        </w:tc>
        <w:tc>
          <w:tcPr>
            <w:tcW w:w="1747" w:type="dxa"/>
            <w:tcBorders>
              <w:top w:val="single" w:sz="4" w:space="0" w:color="auto"/>
              <w:left w:val="nil"/>
              <w:bottom w:val="single" w:sz="4" w:space="0" w:color="auto"/>
              <w:right w:val="nil"/>
            </w:tcBorders>
            <w:vAlign w:val="center"/>
            <w:hideMark/>
          </w:tcPr>
          <w:p w14:paraId="23A301B6" w14:textId="77777777" w:rsidR="00865420" w:rsidRPr="009620E0" w:rsidRDefault="00865420">
            <w:pPr>
              <w:spacing w:before="40" w:after="40"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3F857072" w14:textId="77777777" w:rsidR="00865420" w:rsidRPr="009620E0" w:rsidRDefault="00865420">
            <w:pPr>
              <w:spacing w:before="40" w:after="40" w:line="256" w:lineRule="auto"/>
              <w:jc w:val="center"/>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Luân chuyển</w:t>
            </w:r>
          </w:p>
        </w:tc>
      </w:tr>
      <w:tr w:rsidR="009620E0" w:rsidRPr="009620E0" w14:paraId="0EFDC908" w14:textId="77777777" w:rsidTr="00865420">
        <w:trPr>
          <w:trHeight w:val="269"/>
          <w:jc w:val="center"/>
        </w:trPr>
        <w:tc>
          <w:tcPr>
            <w:tcW w:w="2175" w:type="dxa"/>
            <w:tcBorders>
              <w:top w:val="single" w:sz="4" w:space="0" w:color="auto"/>
              <w:left w:val="nil"/>
              <w:bottom w:val="nil"/>
              <w:right w:val="nil"/>
            </w:tcBorders>
            <w:noWrap/>
            <w:vAlign w:val="center"/>
            <w:hideMark/>
          </w:tcPr>
          <w:p w14:paraId="56C0767F" w14:textId="77777777" w:rsidR="00865420" w:rsidRPr="009620E0" w:rsidRDefault="00865420">
            <w:pPr>
              <w:spacing w:before="120" w:after="40" w:line="256" w:lineRule="auto"/>
              <w:rPr>
                <w:rFonts w:ascii="Arial" w:hAnsi="Arial" w:cs="Arial"/>
                <w:b/>
                <w:bCs/>
                <w:kern w:val="2"/>
                <w:sz w:val="20"/>
                <w:szCs w:val="20"/>
                <w:lang w:eastAsia="vi-VN"/>
                <w14:ligatures w14:val="standardContextual"/>
              </w:rPr>
            </w:pPr>
            <w:r w:rsidRPr="009620E0">
              <w:rPr>
                <w:rFonts w:ascii="Arial" w:hAnsi="Arial" w:cs="Arial"/>
                <w:b/>
                <w:bCs/>
                <w:kern w:val="2"/>
                <w:sz w:val="20"/>
                <w:szCs w:val="20"/>
                <w:lang w:eastAsia="vi-VN"/>
                <w14:ligatures w14:val="standardContextual"/>
              </w:rPr>
              <w:t>Tổng số</w:t>
            </w:r>
          </w:p>
        </w:tc>
        <w:tc>
          <w:tcPr>
            <w:tcW w:w="1782" w:type="dxa"/>
            <w:tcBorders>
              <w:top w:val="single" w:sz="4" w:space="0" w:color="auto"/>
              <w:left w:val="nil"/>
              <w:bottom w:val="nil"/>
              <w:right w:val="nil"/>
            </w:tcBorders>
            <w:noWrap/>
            <w:vAlign w:val="center"/>
            <w:hideMark/>
          </w:tcPr>
          <w:p w14:paraId="308EC2AD" w14:textId="77777777" w:rsidR="00865420" w:rsidRPr="009620E0" w:rsidRDefault="00865420">
            <w:pPr>
              <w:spacing w:before="120" w:after="40" w:line="256" w:lineRule="auto"/>
              <w:ind w:right="447"/>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 xml:space="preserve">415,8 </w:t>
            </w:r>
          </w:p>
        </w:tc>
        <w:tc>
          <w:tcPr>
            <w:tcW w:w="1846" w:type="dxa"/>
            <w:tcBorders>
              <w:top w:val="single" w:sz="4" w:space="0" w:color="auto"/>
              <w:left w:val="nil"/>
              <w:bottom w:val="nil"/>
              <w:right w:val="nil"/>
            </w:tcBorders>
            <w:noWrap/>
            <w:vAlign w:val="center"/>
            <w:hideMark/>
          </w:tcPr>
          <w:p w14:paraId="6FCF26D5" w14:textId="77777777" w:rsidR="00865420" w:rsidRPr="009620E0" w:rsidRDefault="00865420">
            <w:pPr>
              <w:spacing w:before="120" w:after="40" w:line="256" w:lineRule="auto"/>
              <w:ind w:right="447"/>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 xml:space="preserve">87,9 </w:t>
            </w:r>
          </w:p>
        </w:tc>
        <w:tc>
          <w:tcPr>
            <w:tcW w:w="1747" w:type="dxa"/>
            <w:tcBorders>
              <w:top w:val="single" w:sz="4" w:space="0" w:color="auto"/>
              <w:left w:val="nil"/>
              <w:bottom w:val="nil"/>
              <w:right w:val="nil"/>
            </w:tcBorders>
            <w:noWrap/>
            <w:vAlign w:val="center"/>
            <w:hideMark/>
          </w:tcPr>
          <w:p w14:paraId="7911BE39" w14:textId="77777777" w:rsidR="00865420" w:rsidRPr="009620E0" w:rsidRDefault="00865420">
            <w:pPr>
              <w:spacing w:before="120" w:after="40" w:line="256" w:lineRule="auto"/>
              <w:ind w:right="447"/>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 xml:space="preserve">       13,9 </w:t>
            </w:r>
          </w:p>
        </w:tc>
        <w:tc>
          <w:tcPr>
            <w:tcW w:w="1478" w:type="dxa"/>
            <w:tcBorders>
              <w:top w:val="single" w:sz="4" w:space="0" w:color="auto"/>
              <w:left w:val="nil"/>
              <w:bottom w:val="nil"/>
              <w:right w:val="nil"/>
            </w:tcBorders>
            <w:noWrap/>
            <w:vAlign w:val="center"/>
            <w:hideMark/>
          </w:tcPr>
          <w:p w14:paraId="38BB92DC" w14:textId="77777777" w:rsidR="00865420" w:rsidRPr="009620E0" w:rsidRDefault="00865420">
            <w:pPr>
              <w:spacing w:before="120" w:after="40" w:line="256" w:lineRule="auto"/>
              <w:ind w:right="447"/>
              <w:jc w:val="right"/>
              <w:rPr>
                <w:rFonts w:ascii="Arial" w:hAnsi="Arial" w:cs="Arial"/>
                <w:b/>
                <w:kern w:val="2"/>
                <w:sz w:val="20"/>
                <w:szCs w:val="20"/>
                <w14:ligatures w14:val="standardContextual"/>
              </w:rPr>
            </w:pPr>
            <w:r w:rsidRPr="009620E0">
              <w:rPr>
                <w:rFonts w:ascii="Arial" w:hAnsi="Arial" w:cs="Arial"/>
                <w:b/>
                <w:kern w:val="2"/>
                <w:sz w:val="20"/>
                <w:szCs w:val="20"/>
                <w14:ligatures w14:val="standardContextual"/>
              </w:rPr>
              <w:t xml:space="preserve">       14,0 </w:t>
            </w:r>
          </w:p>
        </w:tc>
      </w:tr>
      <w:tr w:rsidR="009620E0" w:rsidRPr="009620E0" w14:paraId="43375EAD" w14:textId="77777777" w:rsidTr="00865420">
        <w:trPr>
          <w:trHeight w:val="225"/>
          <w:jc w:val="center"/>
        </w:trPr>
        <w:tc>
          <w:tcPr>
            <w:tcW w:w="2175" w:type="dxa"/>
            <w:tcBorders>
              <w:top w:val="nil"/>
              <w:left w:val="nil"/>
              <w:bottom w:val="nil"/>
              <w:right w:val="nil"/>
            </w:tcBorders>
            <w:noWrap/>
            <w:vAlign w:val="center"/>
            <w:hideMark/>
          </w:tcPr>
          <w:p w14:paraId="3915F9D8" w14:textId="77777777" w:rsidR="00865420" w:rsidRPr="009620E0" w:rsidRDefault="00865420">
            <w:pPr>
              <w:tabs>
                <w:tab w:val="left" w:pos="407"/>
              </w:tabs>
              <w:spacing w:before="40" w:after="40"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sắt</w:t>
            </w:r>
          </w:p>
        </w:tc>
        <w:tc>
          <w:tcPr>
            <w:tcW w:w="1782" w:type="dxa"/>
            <w:tcBorders>
              <w:top w:val="nil"/>
              <w:left w:val="nil"/>
              <w:bottom w:val="nil"/>
              <w:right w:val="nil"/>
            </w:tcBorders>
            <w:noWrap/>
            <w:vAlign w:val="center"/>
            <w:hideMark/>
          </w:tcPr>
          <w:p w14:paraId="1B1EA751"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0,6</w:t>
            </w:r>
          </w:p>
        </w:tc>
        <w:tc>
          <w:tcPr>
            <w:tcW w:w="1846" w:type="dxa"/>
            <w:tcBorders>
              <w:top w:val="nil"/>
              <w:left w:val="nil"/>
              <w:bottom w:val="nil"/>
              <w:right w:val="nil"/>
            </w:tcBorders>
            <w:noWrap/>
            <w:vAlign w:val="center"/>
            <w:hideMark/>
          </w:tcPr>
          <w:p w14:paraId="02058BB9"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0,5</w:t>
            </w:r>
          </w:p>
        </w:tc>
        <w:tc>
          <w:tcPr>
            <w:tcW w:w="1747" w:type="dxa"/>
            <w:tcBorders>
              <w:top w:val="nil"/>
              <w:left w:val="nil"/>
              <w:bottom w:val="nil"/>
              <w:right w:val="nil"/>
            </w:tcBorders>
            <w:noWrap/>
            <w:vAlign w:val="center"/>
            <w:hideMark/>
          </w:tcPr>
          <w:p w14:paraId="29CDDBA6"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-2,8</w:t>
            </w:r>
          </w:p>
        </w:tc>
        <w:tc>
          <w:tcPr>
            <w:tcW w:w="1478" w:type="dxa"/>
            <w:tcBorders>
              <w:top w:val="nil"/>
              <w:left w:val="nil"/>
              <w:bottom w:val="nil"/>
              <w:right w:val="nil"/>
            </w:tcBorders>
            <w:noWrap/>
            <w:vAlign w:val="center"/>
            <w:hideMark/>
          </w:tcPr>
          <w:p w14:paraId="597045EC"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-10,2</w:t>
            </w:r>
          </w:p>
        </w:tc>
      </w:tr>
      <w:tr w:rsidR="009620E0" w:rsidRPr="009620E0" w14:paraId="5478FC2A" w14:textId="77777777" w:rsidTr="00865420">
        <w:trPr>
          <w:trHeight w:val="225"/>
          <w:jc w:val="center"/>
        </w:trPr>
        <w:tc>
          <w:tcPr>
            <w:tcW w:w="2175" w:type="dxa"/>
            <w:tcBorders>
              <w:top w:val="nil"/>
              <w:left w:val="nil"/>
              <w:bottom w:val="nil"/>
              <w:right w:val="nil"/>
            </w:tcBorders>
            <w:noWrap/>
            <w:vAlign w:val="center"/>
            <w:hideMark/>
          </w:tcPr>
          <w:p w14:paraId="3E37FAEC" w14:textId="77777777" w:rsidR="00865420" w:rsidRPr="009620E0" w:rsidRDefault="00865420">
            <w:pPr>
              <w:tabs>
                <w:tab w:val="left" w:pos="407"/>
              </w:tabs>
              <w:spacing w:before="40" w:after="40"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biển</w:t>
            </w:r>
          </w:p>
        </w:tc>
        <w:tc>
          <w:tcPr>
            <w:tcW w:w="1782" w:type="dxa"/>
            <w:tcBorders>
              <w:top w:val="nil"/>
              <w:left w:val="nil"/>
              <w:bottom w:val="nil"/>
              <w:right w:val="nil"/>
            </w:tcBorders>
            <w:noWrap/>
            <w:vAlign w:val="center"/>
            <w:hideMark/>
          </w:tcPr>
          <w:p w14:paraId="04A2150B"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21,8</w:t>
            </w:r>
          </w:p>
        </w:tc>
        <w:tc>
          <w:tcPr>
            <w:tcW w:w="1846" w:type="dxa"/>
            <w:tcBorders>
              <w:top w:val="nil"/>
              <w:left w:val="nil"/>
              <w:bottom w:val="nil"/>
              <w:right w:val="nil"/>
            </w:tcBorders>
            <w:noWrap/>
            <w:vAlign w:val="center"/>
            <w:hideMark/>
          </w:tcPr>
          <w:p w14:paraId="590DEA49"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41,1</w:t>
            </w:r>
          </w:p>
        </w:tc>
        <w:tc>
          <w:tcPr>
            <w:tcW w:w="1747" w:type="dxa"/>
            <w:tcBorders>
              <w:top w:val="nil"/>
              <w:left w:val="nil"/>
              <w:bottom w:val="nil"/>
              <w:right w:val="nil"/>
            </w:tcBorders>
            <w:noWrap/>
            <w:vAlign w:val="center"/>
            <w:hideMark/>
          </w:tcPr>
          <w:p w14:paraId="05E1E191"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18,1 </w:t>
            </w:r>
          </w:p>
        </w:tc>
        <w:tc>
          <w:tcPr>
            <w:tcW w:w="1478" w:type="dxa"/>
            <w:tcBorders>
              <w:top w:val="nil"/>
              <w:left w:val="nil"/>
              <w:bottom w:val="nil"/>
              <w:right w:val="nil"/>
            </w:tcBorders>
            <w:noWrap/>
            <w:vAlign w:val="center"/>
            <w:hideMark/>
          </w:tcPr>
          <w:p w14:paraId="4597327F"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11,9 </w:t>
            </w:r>
          </w:p>
        </w:tc>
      </w:tr>
      <w:tr w:rsidR="009620E0" w:rsidRPr="009620E0" w14:paraId="32713CD5" w14:textId="77777777" w:rsidTr="00865420">
        <w:trPr>
          <w:trHeight w:val="225"/>
          <w:jc w:val="center"/>
        </w:trPr>
        <w:tc>
          <w:tcPr>
            <w:tcW w:w="2175" w:type="dxa"/>
            <w:tcBorders>
              <w:top w:val="nil"/>
              <w:left w:val="nil"/>
              <w:bottom w:val="nil"/>
              <w:right w:val="nil"/>
            </w:tcBorders>
            <w:noWrap/>
            <w:vAlign w:val="center"/>
            <w:hideMark/>
          </w:tcPr>
          <w:p w14:paraId="406EC2C8" w14:textId="77777777" w:rsidR="00865420" w:rsidRPr="009620E0" w:rsidRDefault="00865420">
            <w:pPr>
              <w:tabs>
                <w:tab w:val="left" w:pos="407"/>
              </w:tabs>
              <w:spacing w:before="40" w:after="40"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thủy nội địa</w:t>
            </w:r>
          </w:p>
        </w:tc>
        <w:tc>
          <w:tcPr>
            <w:tcW w:w="1782" w:type="dxa"/>
            <w:tcBorders>
              <w:top w:val="nil"/>
              <w:left w:val="nil"/>
              <w:bottom w:val="nil"/>
              <w:right w:val="nil"/>
            </w:tcBorders>
            <w:noWrap/>
            <w:vAlign w:val="center"/>
            <w:hideMark/>
          </w:tcPr>
          <w:p w14:paraId="74333F3B"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94,8</w:t>
            </w:r>
          </w:p>
        </w:tc>
        <w:tc>
          <w:tcPr>
            <w:tcW w:w="1846" w:type="dxa"/>
            <w:tcBorders>
              <w:top w:val="nil"/>
              <w:left w:val="nil"/>
              <w:bottom w:val="nil"/>
              <w:right w:val="nil"/>
            </w:tcBorders>
            <w:noWrap/>
            <w:vAlign w:val="center"/>
            <w:hideMark/>
          </w:tcPr>
          <w:p w14:paraId="6D0DACB2"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22,1</w:t>
            </w:r>
          </w:p>
        </w:tc>
        <w:tc>
          <w:tcPr>
            <w:tcW w:w="1747" w:type="dxa"/>
            <w:tcBorders>
              <w:top w:val="nil"/>
              <w:left w:val="nil"/>
              <w:bottom w:val="nil"/>
              <w:right w:val="nil"/>
            </w:tcBorders>
            <w:noWrap/>
            <w:vAlign w:val="center"/>
            <w:hideMark/>
          </w:tcPr>
          <w:p w14:paraId="40A72904"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21,0 </w:t>
            </w:r>
          </w:p>
        </w:tc>
        <w:tc>
          <w:tcPr>
            <w:tcW w:w="1478" w:type="dxa"/>
            <w:tcBorders>
              <w:top w:val="nil"/>
              <w:left w:val="nil"/>
              <w:bottom w:val="nil"/>
              <w:right w:val="nil"/>
            </w:tcBorders>
            <w:noWrap/>
            <w:vAlign w:val="center"/>
            <w:hideMark/>
          </w:tcPr>
          <w:p w14:paraId="67DD5E22"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14,7 </w:t>
            </w:r>
          </w:p>
        </w:tc>
      </w:tr>
      <w:tr w:rsidR="009620E0" w:rsidRPr="009620E0" w14:paraId="349E4090" w14:textId="77777777" w:rsidTr="00865420">
        <w:trPr>
          <w:trHeight w:val="214"/>
          <w:jc w:val="center"/>
        </w:trPr>
        <w:tc>
          <w:tcPr>
            <w:tcW w:w="2175" w:type="dxa"/>
            <w:tcBorders>
              <w:top w:val="nil"/>
              <w:left w:val="nil"/>
              <w:bottom w:val="nil"/>
              <w:right w:val="nil"/>
            </w:tcBorders>
            <w:noWrap/>
            <w:vAlign w:val="center"/>
            <w:hideMark/>
          </w:tcPr>
          <w:p w14:paraId="3D37823C" w14:textId="77777777" w:rsidR="00865420" w:rsidRPr="009620E0" w:rsidRDefault="00865420">
            <w:pPr>
              <w:tabs>
                <w:tab w:val="left" w:pos="407"/>
              </w:tabs>
              <w:spacing w:before="40" w:after="40"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Đường bộ</w:t>
            </w:r>
          </w:p>
        </w:tc>
        <w:tc>
          <w:tcPr>
            <w:tcW w:w="1782" w:type="dxa"/>
            <w:tcBorders>
              <w:top w:val="nil"/>
              <w:left w:val="nil"/>
              <w:bottom w:val="nil"/>
              <w:right w:val="nil"/>
            </w:tcBorders>
            <w:noWrap/>
            <w:vAlign w:val="center"/>
            <w:hideMark/>
          </w:tcPr>
          <w:p w14:paraId="158BFCE2"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298,5</w:t>
            </w:r>
          </w:p>
        </w:tc>
        <w:tc>
          <w:tcPr>
            <w:tcW w:w="1846" w:type="dxa"/>
            <w:tcBorders>
              <w:top w:val="nil"/>
              <w:left w:val="nil"/>
              <w:bottom w:val="nil"/>
              <w:right w:val="nil"/>
            </w:tcBorders>
            <w:noWrap/>
            <w:vAlign w:val="center"/>
            <w:hideMark/>
          </w:tcPr>
          <w:p w14:paraId="36712FB6"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22,4</w:t>
            </w:r>
          </w:p>
        </w:tc>
        <w:tc>
          <w:tcPr>
            <w:tcW w:w="1747" w:type="dxa"/>
            <w:tcBorders>
              <w:top w:val="nil"/>
              <w:left w:val="nil"/>
              <w:bottom w:val="nil"/>
              <w:right w:val="nil"/>
            </w:tcBorders>
            <w:noWrap/>
            <w:vAlign w:val="center"/>
            <w:hideMark/>
          </w:tcPr>
          <w:p w14:paraId="2F402924"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11,6 </w:t>
            </w:r>
          </w:p>
        </w:tc>
        <w:tc>
          <w:tcPr>
            <w:tcW w:w="1478" w:type="dxa"/>
            <w:tcBorders>
              <w:top w:val="nil"/>
              <w:left w:val="nil"/>
              <w:bottom w:val="nil"/>
              <w:right w:val="nil"/>
            </w:tcBorders>
            <w:noWrap/>
            <w:vAlign w:val="center"/>
            <w:hideMark/>
          </w:tcPr>
          <w:p w14:paraId="4B77239E"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16,2 </w:t>
            </w:r>
          </w:p>
        </w:tc>
      </w:tr>
      <w:tr w:rsidR="009620E0" w:rsidRPr="009620E0" w14:paraId="29535AE2" w14:textId="77777777" w:rsidTr="00865420">
        <w:trPr>
          <w:trHeight w:val="225"/>
          <w:jc w:val="center"/>
        </w:trPr>
        <w:tc>
          <w:tcPr>
            <w:tcW w:w="2175" w:type="dxa"/>
            <w:tcBorders>
              <w:top w:val="nil"/>
              <w:left w:val="nil"/>
              <w:bottom w:val="single" w:sz="4" w:space="0" w:color="auto"/>
              <w:right w:val="nil"/>
            </w:tcBorders>
            <w:noWrap/>
            <w:vAlign w:val="center"/>
            <w:hideMark/>
          </w:tcPr>
          <w:p w14:paraId="361F97D3" w14:textId="77777777" w:rsidR="00865420" w:rsidRPr="009620E0" w:rsidRDefault="00865420">
            <w:pPr>
              <w:tabs>
                <w:tab w:val="left" w:pos="407"/>
              </w:tabs>
              <w:spacing w:before="40" w:after="40" w:line="256" w:lineRule="auto"/>
              <w:ind w:firstLine="182"/>
              <w:rPr>
                <w:rFonts w:ascii="Arial" w:hAnsi="Arial" w:cs="Arial"/>
                <w:kern w:val="2"/>
                <w:sz w:val="20"/>
                <w:szCs w:val="20"/>
                <w:lang w:eastAsia="vi-VN"/>
                <w14:ligatures w14:val="standardContextual"/>
              </w:rPr>
            </w:pPr>
            <w:r w:rsidRPr="009620E0">
              <w:rPr>
                <w:rFonts w:ascii="Arial" w:hAnsi="Arial" w:cs="Arial"/>
                <w:kern w:val="2"/>
                <w:sz w:val="20"/>
                <w:szCs w:val="20"/>
                <w:lang w:eastAsia="vi-VN"/>
                <w14:ligatures w14:val="standardContextual"/>
              </w:rPr>
              <w:t>Hàng không</w:t>
            </w:r>
          </w:p>
        </w:tc>
        <w:tc>
          <w:tcPr>
            <w:tcW w:w="1782" w:type="dxa"/>
            <w:tcBorders>
              <w:top w:val="nil"/>
              <w:left w:val="nil"/>
              <w:bottom w:val="single" w:sz="4" w:space="0" w:color="auto"/>
              <w:right w:val="nil"/>
            </w:tcBorders>
            <w:noWrap/>
            <w:vAlign w:val="center"/>
            <w:hideMark/>
          </w:tcPr>
          <w:p w14:paraId="75104660"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0,08</w:t>
            </w:r>
          </w:p>
        </w:tc>
        <w:tc>
          <w:tcPr>
            <w:tcW w:w="1846" w:type="dxa"/>
            <w:tcBorders>
              <w:top w:val="nil"/>
              <w:left w:val="nil"/>
              <w:bottom w:val="single" w:sz="4" w:space="0" w:color="auto"/>
              <w:right w:val="nil"/>
            </w:tcBorders>
            <w:noWrap/>
            <w:vAlign w:val="center"/>
            <w:hideMark/>
          </w:tcPr>
          <w:p w14:paraId="0C68D115"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1,8</w:t>
            </w:r>
          </w:p>
        </w:tc>
        <w:tc>
          <w:tcPr>
            <w:tcW w:w="1747" w:type="dxa"/>
            <w:tcBorders>
              <w:top w:val="nil"/>
              <w:left w:val="nil"/>
              <w:bottom w:val="single" w:sz="4" w:space="0" w:color="auto"/>
              <w:right w:val="nil"/>
            </w:tcBorders>
            <w:noWrap/>
            <w:vAlign w:val="center"/>
            <w:hideMark/>
          </w:tcPr>
          <w:p w14:paraId="2C29BE04"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72,6 </w:t>
            </w:r>
          </w:p>
        </w:tc>
        <w:tc>
          <w:tcPr>
            <w:tcW w:w="1478" w:type="dxa"/>
            <w:tcBorders>
              <w:top w:val="nil"/>
              <w:left w:val="nil"/>
              <w:bottom w:val="single" w:sz="4" w:space="0" w:color="auto"/>
              <w:right w:val="nil"/>
            </w:tcBorders>
            <w:noWrap/>
            <w:vAlign w:val="center"/>
            <w:hideMark/>
          </w:tcPr>
          <w:p w14:paraId="586B5972" w14:textId="77777777" w:rsidR="00865420" w:rsidRPr="009620E0" w:rsidRDefault="00865420">
            <w:pPr>
              <w:spacing w:before="40" w:after="40" w:line="256" w:lineRule="auto"/>
              <w:ind w:right="447"/>
              <w:jc w:val="right"/>
              <w:rPr>
                <w:rFonts w:ascii="Arial" w:hAnsi="Arial" w:cs="Arial"/>
                <w:kern w:val="2"/>
                <w:sz w:val="20"/>
                <w:szCs w:val="20"/>
                <w14:ligatures w14:val="standardContextual"/>
              </w:rPr>
            </w:pPr>
            <w:r w:rsidRPr="009620E0">
              <w:rPr>
                <w:rFonts w:ascii="Arial" w:hAnsi="Arial" w:cs="Arial"/>
                <w:kern w:val="2"/>
                <w:sz w:val="20"/>
                <w:szCs w:val="20"/>
                <w14:ligatures w14:val="standardContextual"/>
              </w:rPr>
              <w:t xml:space="preserve">       37,0 </w:t>
            </w:r>
          </w:p>
        </w:tc>
      </w:tr>
    </w:tbl>
    <w:p w14:paraId="7DD25C3A" w14:textId="77777777" w:rsidR="00865420" w:rsidRPr="009620E0" w:rsidRDefault="00865420" w:rsidP="00F6076D">
      <w:pPr>
        <w:spacing w:before="120" w:after="120" w:line="264" w:lineRule="auto"/>
        <w:ind w:firstLine="567"/>
        <w:jc w:val="both"/>
        <w:rPr>
          <w:b/>
          <w:bCs/>
          <w:i/>
          <w:lang w:val="pt-BR"/>
        </w:rPr>
      </w:pPr>
      <w:r w:rsidRPr="009620E0">
        <w:rPr>
          <w:b/>
          <w:bCs/>
          <w:i/>
          <w:iCs/>
          <w:lang w:val="pt-BR"/>
        </w:rPr>
        <w:t>đ) Khách quốc tế đến Việt Nam</w:t>
      </w:r>
      <w:r w:rsidRPr="009620E0">
        <w:rPr>
          <w:rStyle w:val="FootnoteReference"/>
          <w:rFonts w:eastAsia="Calibri"/>
          <w:i/>
          <w:iCs/>
        </w:rPr>
        <w:footnoteReference w:id="22"/>
      </w:r>
    </w:p>
    <w:p w14:paraId="4D362DD7" w14:textId="2DF064A6" w:rsidR="00AA7EEA" w:rsidRPr="009620E0" w:rsidRDefault="00865420" w:rsidP="00AA7EEA">
      <w:pPr>
        <w:spacing w:after="120" w:line="264" w:lineRule="auto"/>
        <w:ind w:firstLine="567"/>
        <w:jc w:val="both"/>
        <w:rPr>
          <w:i/>
        </w:rPr>
      </w:pPr>
      <w:r w:rsidRPr="009620E0">
        <w:rPr>
          <w:bCs/>
          <w:i/>
          <w:lang w:val="pt-BR" w:eastAsia="en-GB"/>
        </w:rPr>
        <w:t>Nhờ hiệu quả từ các chính sách thị thực thuận lợi, các chương trình kích cầu du lịch cũng như sự nỗ lực của chính quyền và người dân nên số lượng khách quốc tế đến Việt Nam tháng 02/2024</w:t>
      </w:r>
      <w:r w:rsidRPr="009620E0">
        <w:rPr>
          <w:rStyle w:val="FootnoteReference"/>
          <w:rFonts w:eastAsia="Calibri"/>
          <w:i/>
        </w:rPr>
        <w:footnoteReference w:id="23"/>
      </w:r>
      <w:r w:rsidRPr="009620E0">
        <w:rPr>
          <w:bCs/>
          <w:i/>
          <w:lang w:val="pt-BR" w:eastAsia="en-GB"/>
        </w:rPr>
        <w:t xml:space="preserve"> đạt hơn 1,5 triệu lượt người, tăng 1,3% so với tháng trước và tăng 64,1% so với cùng kỳ năm trước. </w:t>
      </w:r>
      <w:r w:rsidR="00AA7EEA" w:rsidRPr="009620E0">
        <w:rPr>
          <w:i/>
        </w:rPr>
        <w:t xml:space="preserve">Tính chung </w:t>
      </w:r>
      <w:r w:rsidR="00E110EA" w:rsidRPr="009620E0">
        <w:rPr>
          <w:i/>
        </w:rPr>
        <w:t>2</w:t>
      </w:r>
      <w:r w:rsidR="00AA7EEA" w:rsidRPr="009620E0">
        <w:rPr>
          <w:i/>
        </w:rPr>
        <w:t xml:space="preserve"> tháng đầu năm 2024, khách quốc tế đến nước ta đạt hơn 3 triệu lượt người, tăng 68,7% so với cùng kỳ năm trước và </w:t>
      </w:r>
      <w:r w:rsidR="00997446" w:rsidRPr="009620E0">
        <w:rPr>
          <w:i/>
        </w:rPr>
        <w:t xml:space="preserve">bằng 98,5% so với cùng kỳ </w:t>
      </w:r>
      <w:r w:rsidR="00AA7EEA" w:rsidRPr="009620E0">
        <w:rPr>
          <w:i/>
        </w:rPr>
        <w:t>năm 2019 - năm chưa xảy ra dịch Covid-19.</w:t>
      </w:r>
    </w:p>
    <w:p w14:paraId="63B9F62E" w14:textId="0A11D056" w:rsidR="00865420" w:rsidRPr="009620E0" w:rsidRDefault="00865420" w:rsidP="00D80F40">
      <w:pPr>
        <w:spacing w:after="120" w:line="264" w:lineRule="auto"/>
        <w:ind w:firstLine="567"/>
        <w:jc w:val="both"/>
        <w:rPr>
          <w:bCs/>
          <w:lang w:val="pt-BR" w:eastAsia="en-GB"/>
        </w:rPr>
      </w:pPr>
      <w:r w:rsidRPr="009620E0">
        <w:rPr>
          <w:bCs/>
          <w:lang w:val="pt-BR" w:eastAsia="en-GB"/>
        </w:rPr>
        <w:t xml:space="preserve">Trong tổng số hơn 3 triệu lượt khách quốc tế đến Việt Nam </w:t>
      </w:r>
      <w:r w:rsidR="00E110EA" w:rsidRPr="009620E0">
        <w:rPr>
          <w:bCs/>
          <w:lang w:val="pt-BR" w:eastAsia="en-GB"/>
        </w:rPr>
        <w:t>2</w:t>
      </w:r>
      <w:r w:rsidRPr="009620E0">
        <w:rPr>
          <w:bCs/>
          <w:lang w:val="pt-BR" w:eastAsia="en-GB"/>
        </w:rPr>
        <w:t xml:space="preserve"> tháng đầu năm nay, khách đến bằng đường hàng không đạt gần 2,6 triệu lượt người, chiếm </w:t>
      </w:r>
      <w:r w:rsidRPr="009620E0">
        <w:rPr>
          <w:bCs/>
          <w:lang w:val="pt-BR" w:eastAsia="en-GB"/>
        </w:rPr>
        <w:lastRenderedPageBreak/>
        <w:t>84,2% tổng lượng khách quốc tế đến Việt Nam và gấp 1,6 lần cùng kỳ năm trước; bằng đường bộ đạt 388,6 nghìn lượt người, chiếm 12,8% và gấp 2,5 lần; bằng đường biển đạt 90,7 nghìn lượt người, chiếm 3% và gấp 7 lần.</w:t>
      </w:r>
    </w:p>
    <w:p w14:paraId="70262012" w14:textId="59059182" w:rsidR="00865420" w:rsidRPr="009620E0" w:rsidRDefault="00865420" w:rsidP="00865420">
      <w:pPr>
        <w:shd w:val="clear" w:color="auto" w:fill="FFFFFF"/>
        <w:spacing w:before="60" w:after="60"/>
        <w:jc w:val="center"/>
        <w:rPr>
          <w:rFonts w:ascii="Arial" w:hAnsi="Arial" w:cs="Arial"/>
          <w:b/>
          <w:sz w:val="24"/>
          <w:szCs w:val="24"/>
          <w:lang w:val="pt-BR"/>
        </w:rPr>
      </w:pPr>
      <w:r w:rsidRPr="009620E0">
        <w:rPr>
          <w:rFonts w:ascii="Arial" w:hAnsi="Arial" w:cs="Arial"/>
          <w:b/>
          <w:sz w:val="24"/>
          <w:szCs w:val="24"/>
          <w:lang w:val="pt-BR"/>
        </w:rPr>
        <w:t xml:space="preserve">Hình 17. Khách quốc tế đến Việt Nam </w:t>
      </w:r>
      <w:r w:rsidR="00E110EA" w:rsidRPr="009620E0">
        <w:rPr>
          <w:rFonts w:ascii="Arial" w:hAnsi="Arial" w:cs="Arial"/>
          <w:b/>
          <w:sz w:val="24"/>
          <w:szCs w:val="24"/>
          <w:lang w:val="pt-BR"/>
        </w:rPr>
        <w:t>2</w:t>
      </w:r>
      <w:r w:rsidRPr="009620E0">
        <w:rPr>
          <w:rFonts w:ascii="Arial" w:hAnsi="Arial" w:cs="Arial"/>
          <w:b/>
          <w:sz w:val="24"/>
          <w:szCs w:val="24"/>
          <w:lang w:val="pt-BR"/>
        </w:rPr>
        <w:t xml:space="preserve"> tháng đầu năm 2024</w:t>
      </w:r>
    </w:p>
    <w:p w14:paraId="01A938D2" w14:textId="77777777" w:rsidR="00865420" w:rsidRPr="009620E0" w:rsidRDefault="00865420" w:rsidP="00865420">
      <w:pPr>
        <w:spacing w:before="60" w:after="60"/>
        <w:jc w:val="center"/>
        <w:rPr>
          <w:rFonts w:eastAsia="Calibri"/>
          <w:sz w:val="2"/>
        </w:rPr>
      </w:pPr>
      <w:r w:rsidRPr="009620E0">
        <w:rPr>
          <w:rFonts w:ascii="Arial" w:hAnsi="Arial" w:cs="Arial"/>
          <w:b/>
          <w:sz w:val="24"/>
          <w:szCs w:val="24"/>
        </w:rPr>
        <w:t>phân theo vùng lãnh thổ</w:t>
      </w:r>
    </w:p>
    <w:p w14:paraId="53F58184" w14:textId="77777777" w:rsidR="00865420" w:rsidRPr="009620E0" w:rsidRDefault="00865420" w:rsidP="00865420">
      <w:pPr>
        <w:spacing w:after="120" w:line="264" w:lineRule="auto"/>
        <w:rPr>
          <w:b/>
          <w:bCs/>
        </w:rPr>
      </w:pPr>
    </w:p>
    <w:p w14:paraId="0C768BC2" w14:textId="40E84B21" w:rsidR="00865420" w:rsidRPr="009620E0" w:rsidRDefault="00865420" w:rsidP="00865420">
      <w:pPr>
        <w:pStyle w:val="NormalWeb"/>
      </w:pPr>
      <w:r w:rsidRPr="009620E0">
        <w:rPr>
          <w:noProof/>
          <w:lang w:val="en-US" w:eastAsia="en-US"/>
        </w:rPr>
        <w:drawing>
          <wp:inline distT="0" distB="0" distL="0" distR="0" wp14:anchorId="164C3B6F" wp14:editId="453057E6">
            <wp:extent cx="5699760" cy="2816225"/>
            <wp:effectExtent l="0" t="0" r="0" b="3175"/>
            <wp:docPr id="28" name="Picture 28" descr="A diagram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different countries/region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60" cy="2816225"/>
                    </a:xfrm>
                    <a:prstGeom prst="rect">
                      <a:avLst/>
                    </a:prstGeom>
                    <a:noFill/>
                    <a:ln>
                      <a:noFill/>
                    </a:ln>
                  </pic:spPr>
                </pic:pic>
              </a:graphicData>
            </a:graphic>
          </wp:inline>
        </w:drawing>
      </w:r>
    </w:p>
    <w:p w14:paraId="6CD8B4B4" w14:textId="77777777" w:rsidR="000708ED" w:rsidRPr="009620E0" w:rsidRDefault="000708ED" w:rsidP="00A20988">
      <w:pPr>
        <w:spacing w:after="120" w:line="283" w:lineRule="auto"/>
        <w:ind w:firstLine="567"/>
        <w:jc w:val="both"/>
        <w:rPr>
          <w:b/>
          <w:bCs/>
        </w:rPr>
      </w:pPr>
      <w:r w:rsidRPr="009620E0">
        <w:rPr>
          <w:b/>
          <w:bCs/>
        </w:rPr>
        <w:t>7. Một số tình hình xã hội</w:t>
      </w:r>
    </w:p>
    <w:p w14:paraId="509954D4" w14:textId="77777777" w:rsidR="000708ED" w:rsidRPr="009620E0" w:rsidRDefault="000708ED" w:rsidP="00A20988">
      <w:pPr>
        <w:tabs>
          <w:tab w:val="left" w:pos="709"/>
          <w:tab w:val="left" w:pos="1134"/>
        </w:tabs>
        <w:spacing w:after="120" w:line="283" w:lineRule="auto"/>
        <w:ind w:firstLine="567"/>
        <w:jc w:val="both"/>
        <w:rPr>
          <w:b/>
          <w:i/>
        </w:rPr>
      </w:pPr>
      <w:r w:rsidRPr="009620E0">
        <w:rPr>
          <w:b/>
          <w:i/>
        </w:rPr>
        <w:t xml:space="preserve">a) Đời sống dân cư </w:t>
      </w:r>
    </w:p>
    <w:p w14:paraId="2558281A" w14:textId="77777777" w:rsidR="000708ED" w:rsidRPr="009620E0" w:rsidRDefault="000708ED" w:rsidP="00A20988">
      <w:pPr>
        <w:tabs>
          <w:tab w:val="left" w:pos="851"/>
        </w:tabs>
        <w:spacing w:after="120" w:line="283" w:lineRule="auto"/>
        <w:ind w:firstLine="567"/>
        <w:jc w:val="both"/>
        <w:rPr>
          <w:bCs/>
          <w:snapToGrid w:val="0"/>
          <w:lang w:val="nl-NL"/>
        </w:rPr>
      </w:pPr>
      <w:r w:rsidRPr="009620E0">
        <w:rPr>
          <w:bCs/>
          <w:snapToGrid w:val="0"/>
          <w:lang w:val="nl-NL"/>
        </w:rPr>
        <w:t>Trong không khí tưng bừng vui xuân đón tết Giáp Thìn năm 2024, tình hình đời sống dân cư trong tháng Hai năm nay có nhiều khởi sắc hơn tháng Một. T</w:t>
      </w:r>
      <w:r w:rsidRPr="009620E0">
        <w:rPr>
          <w:snapToGrid w:val="0"/>
          <w:lang w:val="nl-NL"/>
        </w:rPr>
        <w:t xml:space="preserve">ỷ lệ hộ đánh giá có thu nhập trong tháng không thay đổi và tăng lên so với tháng cùng kỳ năm trước là </w:t>
      </w:r>
      <w:r w:rsidRPr="009620E0">
        <w:rPr>
          <w:bCs/>
          <w:snapToGrid w:val="0"/>
          <w:lang w:val="nl-NL"/>
        </w:rPr>
        <w:t>94,2%</w:t>
      </w:r>
      <w:r w:rsidRPr="009620E0">
        <w:rPr>
          <w:snapToGrid w:val="0"/>
          <w:lang w:val="nl-NL"/>
        </w:rPr>
        <w:t xml:space="preserve"> (tăng </w:t>
      </w:r>
      <w:r w:rsidRPr="009620E0">
        <w:rPr>
          <w:bCs/>
          <w:snapToGrid w:val="0"/>
          <w:lang w:val="nl-NL"/>
        </w:rPr>
        <w:t>1,8</w:t>
      </w:r>
      <w:r w:rsidRPr="009620E0">
        <w:rPr>
          <w:snapToGrid w:val="0"/>
          <w:lang w:val="nl-NL"/>
        </w:rPr>
        <w:t xml:space="preserve"> điểm phần trăm so với kỳ báo cáo tháng 01/2024);</w:t>
      </w:r>
      <w:bookmarkStart w:id="4" w:name="_Hlk106803047"/>
      <w:r w:rsidRPr="009620E0">
        <w:rPr>
          <w:bCs/>
          <w:snapToGrid w:val="0"/>
          <w:lang w:val="nl-NL"/>
        </w:rPr>
        <w:t xml:space="preserve"> tỷ lệ hộ đánh giá có thu nhập giảm là 5,8%</w:t>
      </w:r>
      <w:bookmarkEnd w:id="4"/>
      <w:r w:rsidRPr="009620E0">
        <w:rPr>
          <w:bCs/>
          <w:snapToGrid w:val="0"/>
          <w:lang w:val="nl-NL"/>
        </w:rPr>
        <w:t>.</w:t>
      </w:r>
    </w:p>
    <w:p w14:paraId="4207342E" w14:textId="77777777" w:rsidR="000708ED" w:rsidRPr="009620E0" w:rsidRDefault="000708ED" w:rsidP="00A20988">
      <w:pPr>
        <w:tabs>
          <w:tab w:val="left" w:pos="851"/>
        </w:tabs>
        <w:spacing w:after="120" w:line="283" w:lineRule="auto"/>
        <w:ind w:firstLine="567"/>
        <w:jc w:val="both"/>
        <w:rPr>
          <w:bCs/>
          <w:snapToGrid w:val="0"/>
          <w:lang w:val="nl-NL"/>
        </w:rPr>
      </w:pPr>
      <w:r w:rsidRPr="009620E0">
        <w:rPr>
          <w:rStyle w:val="fontstyle01"/>
          <w:bCs/>
          <w:color w:val="auto"/>
          <w:lang w:val="nl-NL"/>
        </w:rPr>
        <w:t>Các nguyên nhân chính làm cho thu nhập giảm được các hộ gia đình đánh giá như sau:</w:t>
      </w:r>
      <w:r w:rsidRPr="009620E0">
        <w:rPr>
          <w:bCs/>
          <w:snapToGrid w:val="0"/>
          <w:lang w:val="nl-NL"/>
        </w:rPr>
        <w:t xml:space="preserve"> 42,4% hộ gia đình có thành viên mất việc làm/tạm nghỉ việc; 24,7% hộ đánh giá do quy mô các hoạt động sản xuất kinh doanh của hộ giảm; 23,9% hộ đánh giá do chi phí đầu vào cho các hoạt động sản xuất kinh doanh của hộ tăng và 19,9% hộ đánh giá do giá bán các sản phẩm từ các hoạt động sản xuất kinh doanh của hộ giảm. </w:t>
      </w:r>
    </w:p>
    <w:p w14:paraId="29698E2C" w14:textId="7E53CC53" w:rsidR="000708ED" w:rsidRPr="009620E0" w:rsidRDefault="000708ED" w:rsidP="00A20988">
      <w:pPr>
        <w:spacing w:after="120" w:line="283" w:lineRule="auto"/>
        <w:ind w:firstLine="567"/>
        <w:jc w:val="both"/>
        <w:rPr>
          <w:bCs/>
          <w:snapToGrid w:val="0"/>
          <w:lang w:val="nl-NL"/>
        </w:rPr>
      </w:pPr>
      <w:r w:rsidRPr="009620E0">
        <w:rPr>
          <w:bCs/>
          <w:snapToGrid w:val="0"/>
          <w:lang w:val="nl-NL"/>
        </w:rPr>
        <w:t xml:space="preserve">Về tác động của các sự kiện tiêu cực đến đời sống trong </w:t>
      </w:r>
      <w:r w:rsidR="00E110EA" w:rsidRPr="009620E0">
        <w:rPr>
          <w:bCs/>
          <w:snapToGrid w:val="0"/>
          <w:lang w:val="nl-NL"/>
        </w:rPr>
        <w:t>2</w:t>
      </w:r>
      <w:r w:rsidRPr="009620E0">
        <w:rPr>
          <w:bCs/>
          <w:snapToGrid w:val="0"/>
          <w:lang w:val="nl-NL"/>
        </w:rPr>
        <w:t xml:space="preserve"> tháng đầu năm 2024 được các hộ gia đình đánh giá: 32,2% hộ đang phải chịu những ảnh hưởng do giá cả hàng hóa, dịch vụ tăng cao; 3,1% hộ gia đình chịu ảnh hưởng tiêu cực từ dịch bệnh đối với con người và </w:t>
      </w:r>
      <w:r w:rsidR="00E93AE4" w:rsidRPr="009620E0">
        <w:rPr>
          <w:bCs/>
          <w:snapToGrid w:val="0"/>
          <w:lang w:val="nl-NL"/>
        </w:rPr>
        <w:t>1,7</w:t>
      </w:r>
      <w:r w:rsidRPr="009620E0">
        <w:rPr>
          <w:bCs/>
          <w:snapToGrid w:val="0"/>
          <w:lang w:val="nl-NL"/>
        </w:rPr>
        <w:t xml:space="preserve">% hộ gia đình chịu ảnh hưởng tiêu cực từ dịch bệnh đối với vật nuôi, cây trồng. </w:t>
      </w:r>
    </w:p>
    <w:p w14:paraId="517FF012" w14:textId="2A1E2762" w:rsidR="000708ED" w:rsidRPr="009620E0" w:rsidRDefault="000708ED" w:rsidP="00A20988">
      <w:pPr>
        <w:tabs>
          <w:tab w:val="left" w:pos="851"/>
        </w:tabs>
        <w:spacing w:after="120" w:line="283" w:lineRule="auto"/>
        <w:ind w:firstLine="567"/>
        <w:jc w:val="both"/>
        <w:rPr>
          <w:bCs/>
          <w:snapToGrid w:val="0"/>
          <w:lang w:val="nl-NL"/>
        </w:rPr>
      </w:pPr>
      <w:r w:rsidRPr="009620E0">
        <w:rPr>
          <w:bCs/>
          <w:snapToGrid w:val="0"/>
          <w:lang w:val="nl-NL"/>
        </w:rPr>
        <w:lastRenderedPageBreak/>
        <w:t xml:space="preserve">Trong </w:t>
      </w:r>
      <w:r w:rsidR="00E110EA" w:rsidRPr="009620E0">
        <w:rPr>
          <w:bCs/>
          <w:snapToGrid w:val="0"/>
          <w:lang w:val="nl-NL"/>
        </w:rPr>
        <w:t>2</w:t>
      </w:r>
      <w:r w:rsidRPr="009620E0">
        <w:rPr>
          <w:bCs/>
          <w:snapToGrid w:val="0"/>
          <w:lang w:val="nl-NL"/>
        </w:rPr>
        <w:t xml:space="preserve"> tháng đầu năm 2024, có 13,1% hộ gia đình được phỏng vấn nhận được sự trợ giúp từ các nguồn hỗ trợ khác nhau. Cụ thể, tỷ lệ hộ nhận được trợ giúp từ họ hàng, người thân là 8,8%; từ các chương trình, chính sách của địa phương là 4,6%; từ các chương trình, chính sách chung của quốc gia là 4,3%; từ các hoạt động từ thiện của các tổ chức và cá nhân khác là 1,9% và từ các nguồn khác là gần 0,02%.</w:t>
      </w:r>
    </w:p>
    <w:p w14:paraId="3429C452" w14:textId="78605B5B" w:rsidR="000708ED" w:rsidRPr="009620E0" w:rsidRDefault="00956712" w:rsidP="00A20988">
      <w:pPr>
        <w:pStyle w:val="BodyTextIndent"/>
        <w:tabs>
          <w:tab w:val="left" w:pos="0"/>
          <w:tab w:val="left" w:pos="720"/>
        </w:tabs>
        <w:spacing w:line="283" w:lineRule="auto"/>
        <w:ind w:left="0" w:firstLine="567"/>
        <w:jc w:val="both"/>
        <w:rPr>
          <w:bCs/>
          <w:snapToGrid w:val="0"/>
          <w:lang w:val="nl-NL"/>
        </w:rPr>
      </w:pPr>
      <w:r w:rsidRPr="009620E0">
        <w:rPr>
          <w:iCs/>
          <w:snapToGrid w:val="0"/>
          <w:lang w:val="nl-NL"/>
        </w:rPr>
        <w:t xml:space="preserve">Công tác bảo đảm an sinh xã hội luôn được các cấp, ngành thực hiện kịp thời, hiệu quả trong dịp Tết Giáp Thìn </w:t>
      </w:r>
      <w:r w:rsidRPr="009620E0">
        <w:rPr>
          <w:bCs/>
          <w:snapToGrid w:val="0"/>
          <w:lang w:val="nl-NL"/>
        </w:rPr>
        <w:t>cho người có công với cách mạng, người cao tuổi, các đối tượng bảo trợ xã hội, các đối tượng có hoàn cảnh khó khăn đã được thực hiện hiệu quả, vui tươi, đầm ấm, thiết thực</w:t>
      </w:r>
      <w:r w:rsidRPr="009620E0">
        <w:rPr>
          <w:iCs/>
          <w:snapToGrid w:val="0"/>
          <w:lang w:val="nl-NL"/>
        </w:rPr>
        <w:t xml:space="preserve">. </w:t>
      </w:r>
      <w:r w:rsidR="000708ED" w:rsidRPr="009620E0">
        <w:rPr>
          <w:bCs/>
          <w:snapToGrid w:val="0"/>
          <w:lang w:val="nl-NL"/>
        </w:rPr>
        <w:t xml:space="preserve">Theo Báo cáo ngày 14/02/2024 của Bộ Lao động - Thương binh và Xã hội, toàn quốc đã hỗ trợ, tặng quà Tết cho 13,9 triệu lượt đối tượng với tổng kinh phí gần 7,8 nghìn tỷ đồng, trong đó ngân sách </w:t>
      </w:r>
      <w:r w:rsidR="0008608F" w:rsidRPr="009620E0">
        <w:rPr>
          <w:bCs/>
          <w:snapToGrid w:val="0"/>
          <w:lang w:val="nl-NL"/>
        </w:rPr>
        <w:t>T</w:t>
      </w:r>
      <w:r w:rsidR="000708ED" w:rsidRPr="009620E0">
        <w:rPr>
          <w:bCs/>
          <w:snapToGrid w:val="0"/>
          <w:lang w:val="nl-NL"/>
        </w:rPr>
        <w:t xml:space="preserve">rung ương là 646 tỷ đồng; ngân sách địa phương là 4,4 nghìn tỷ đồng; kinh phí vận động xã hội hóa là 2,7 nghìn tỷ đồng. </w:t>
      </w:r>
      <w:r w:rsidR="000708ED" w:rsidRPr="009620E0">
        <w:t xml:space="preserve">Chủ tịch nước tặng quà cho gần 1,5 triệu đối tượng với tổng kinh phí 449,4 tỷ đồng theo Quyết định số 1583/QĐ-CTN ngày 26/12/2023. </w:t>
      </w:r>
      <w:r w:rsidR="000708ED" w:rsidRPr="009620E0">
        <w:rPr>
          <w:bCs/>
          <w:snapToGrid w:val="0"/>
          <w:lang w:val="nl-NL"/>
        </w:rPr>
        <w:t>Chính quyền địa phương các cấp tặng quà Tết khoảng 2,7 nghìn tỷ đồng</w:t>
      </w:r>
      <w:r w:rsidR="000708ED" w:rsidRPr="009620E0">
        <w:t xml:space="preserve">. </w:t>
      </w:r>
      <w:r w:rsidR="000708ED" w:rsidRPr="009620E0">
        <w:rPr>
          <w:bCs/>
          <w:snapToGrid w:val="0"/>
          <w:lang w:val="nl-NL"/>
        </w:rPr>
        <w:t>Ngoài ra, có trên 1,07 triệu lượt người cao tuổi được chúc thọ và tặng quà Tết với tổng trị giá trên 600 tỷ đồng; 770,5 nghìn lượt trẻ em có hoàn cảnh đặc biệt, trẻ em nghèo… được thăm hỏi, tặng quà Tết với tổng kinh phí trên 404 tỷ đồng; gần 1,85 triệu lượt hộ nghèo, hộ cận nghèo đã được hỗ trợ, tặng quà Tết với tổng trị giá trên 1.091 tỷ đồng; gần 1,64 triệu lượt đối tượng bảo trợ xã hội được tặng quà Tết với tổng trị giá gần 754,4 tỷ đồng.</w:t>
      </w:r>
    </w:p>
    <w:p w14:paraId="415D5934" w14:textId="7257DBA1" w:rsidR="000708ED" w:rsidRPr="009620E0" w:rsidRDefault="000708ED" w:rsidP="00A20988">
      <w:pPr>
        <w:pStyle w:val="BodyTextIndent"/>
        <w:tabs>
          <w:tab w:val="left" w:pos="0"/>
          <w:tab w:val="left" w:pos="720"/>
        </w:tabs>
        <w:spacing w:line="283" w:lineRule="auto"/>
        <w:ind w:left="0" w:firstLine="567"/>
        <w:jc w:val="both"/>
        <w:rPr>
          <w:bCs/>
          <w:snapToGrid w:val="0"/>
          <w:lang w:val="nl-NL"/>
        </w:rPr>
      </w:pPr>
      <w:r w:rsidRPr="009620E0">
        <w:t xml:space="preserve"> Về hỗ trợ gạo, </w:t>
      </w:r>
      <w:r w:rsidRPr="009620E0">
        <w:rPr>
          <w:bCs/>
          <w:snapToGrid w:val="0"/>
          <w:lang w:val="nl-NL"/>
        </w:rPr>
        <w:t xml:space="preserve">Chính phủ, các Bộ, ngành, địa phương hỗ trợ cho người dân 17,7 nghìn tấn gạo, trong đó: Chính phủ hỗ trợ 10,4 nghìn tấn gạo cứu đói nhân dịp Tết Nguyên đán Giáp Thìn cho 103,7 nghìn hộ với 693,4 nghìn nhân khẩu và </w:t>
      </w:r>
      <w:r w:rsidR="00956712" w:rsidRPr="009620E0">
        <w:rPr>
          <w:bCs/>
          <w:snapToGrid w:val="0"/>
          <w:lang w:val="nl-NL"/>
        </w:rPr>
        <w:t xml:space="preserve">hơn </w:t>
      </w:r>
      <w:r w:rsidRPr="009620E0">
        <w:rPr>
          <w:bCs/>
          <w:snapToGrid w:val="0"/>
          <w:lang w:val="nl-NL"/>
        </w:rPr>
        <w:t xml:space="preserve">2,3 nghìn tấn gạo cứu đói giáp hạt năm 2024 cho 33 nghìn hộ với 155,7 nghìn nhân khẩu. </w:t>
      </w:r>
      <w:r w:rsidRPr="009620E0">
        <w:t>Các địa phương cũng xây dựng kế hoạch, chủ động bố trí ngân sách địa phương và nguồn xã hội hóa để hỗ trợ gần 5 nghìn tấn gạo cho các hộ nghèo, cận nghèo và người có hoàn cảnh khó khăn.</w:t>
      </w:r>
    </w:p>
    <w:p w14:paraId="3533EA72" w14:textId="77777777" w:rsidR="000708ED" w:rsidRPr="009620E0" w:rsidRDefault="000708ED" w:rsidP="00A20988">
      <w:pPr>
        <w:spacing w:after="120" w:line="283" w:lineRule="auto"/>
        <w:ind w:firstLine="567"/>
        <w:jc w:val="both"/>
        <w:rPr>
          <w:rStyle w:val="normalchar"/>
          <w:b/>
          <w:bCs/>
          <w:i/>
          <w:iCs/>
          <w:lang w:val="nl-NL"/>
        </w:rPr>
      </w:pPr>
      <w:r w:rsidRPr="009620E0">
        <w:rPr>
          <w:rStyle w:val="normalchar"/>
          <w:b/>
          <w:bCs/>
          <w:i/>
          <w:iCs/>
          <w:lang w:val="nl-NL"/>
        </w:rPr>
        <w:t>b) Tình hình dịch bệnh, ngộ độc thực phẩm</w:t>
      </w:r>
    </w:p>
    <w:p w14:paraId="23B5E6FD" w14:textId="251A77F7" w:rsidR="000708ED" w:rsidRPr="009620E0" w:rsidRDefault="000708ED" w:rsidP="00A20988">
      <w:pPr>
        <w:spacing w:after="120" w:line="283" w:lineRule="auto"/>
        <w:ind w:firstLine="567"/>
        <w:jc w:val="both"/>
        <w:rPr>
          <w:lang w:val="de-DE"/>
        </w:rPr>
      </w:pPr>
      <w:r w:rsidRPr="009620E0">
        <w:rPr>
          <w:lang w:val="de-DE"/>
        </w:rPr>
        <w:t xml:space="preserve">Theo báo cáo của Bộ Y tế, trong tháng (19/01-18/02/2024), cả nước có 6.411 trường hợp mắc bệnh sốt xuất huyết; 3.497 trường hợp mắc bệnh tay chân miệng; 23 trường hợp sốt phát ban nghi sởi và </w:t>
      </w:r>
      <w:r w:rsidRPr="009620E0">
        <w:rPr>
          <w:lang w:val="pt-BR"/>
        </w:rPr>
        <w:t xml:space="preserve">32 trường hợp mắc </w:t>
      </w:r>
      <w:r w:rsidRPr="009620E0">
        <w:rPr>
          <w:lang w:val="de-DE"/>
        </w:rPr>
        <w:t xml:space="preserve">viêm não vi rút. Tính chung </w:t>
      </w:r>
      <w:r w:rsidR="00E110EA" w:rsidRPr="009620E0">
        <w:rPr>
          <w:lang w:val="de-DE"/>
        </w:rPr>
        <w:t>2</w:t>
      </w:r>
      <w:r w:rsidRPr="009620E0">
        <w:rPr>
          <w:lang w:val="de-DE"/>
        </w:rPr>
        <w:t xml:space="preserve"> tháng đầu năm 2024, cả nước có 8.349 trường hợp mắc bệnh sốt xuất huyết; 4.873 trường hợp mắc bệnh tay chân miệng; 32 trường hợp sốt phát ban nghi sởi và </w:t>
      </w:r>
      <w:r w:rsidRPr="009620E0">
        <w:rPr>
          <w:lang w:val="pt-BR"/>
        </w:rPr>
        <w:t>39</w:t>
      </w:r>
      <w:r w:rsidRPr="009620E0">
        <w:rPr>
          <w:lang w:val="de-DE"/>
        </w:rPr>
        <w:t xml:space="preserve"> trường hợp mắc bệnh viêm não vi rút;.</w:t>
      </w:r>
    </w:p>
    <w:p w14:paraId="146B4E01" w14:textId="77777777" w:rsidR="000708ED" w:rsidRPr="009620E0" w:rsidRDefault="000708ED" w:rsidP="00A20988">
      <w:pPr>
        <w:spacing w:after="120" w:line="283" w:lineRule="auto"/>
        <w:ind w:firstLine="567"/>
        <w:jc w:val="both"/>
        <w:rPr>
          <w:lang w:val="de-DE"/>
        </w:rPr>
      </w:pPr>
      <w:r w:rsidRPr="009620E0">
        <w:rPr>
          <w:lang w:val="de-DE"/>
        </w:rPr>
        <w:lastRenderedPageBreak/>
        <w:t xml:space="preserve">Tổng số người nhiễm HIV của cả nước hiện còn sống tính đến thời điểm 18/02/2024 là </w:t>
      </w:r>
      <w:r w:rsidRPr="009620E0">
        <w:rPr>
          <w:bCs/>
          <w:lang w:val="pl-PL"/>
        </w:rPr>
        <w:t xml:space="preserve">235,1 </w:t>
      </w:r>
      <w:r w:rsidRPr="009620E0">
        <w:rPr>
          <w:lang w:val="de-DE"/>
        </w:rPr>
        <w:t xml:space="preserve">nghìn người và số người tử vong do HIV/AIDS của cả nước tính đến thời điểm trên là </w:t>
      </w:r>
      <w:r w:rsidRPr="009620E0">
        <w:rPr>
          <w:bCs/>
          <w:lang w:val="pl-PL"/>
        </w:rPr>
        <w:t xml:space="preserve">114,3 </w:t>
      </w:r>
      <w:r w:rsidRPr="009620E0">
        <w:rPr>
          <w:lang w:val="de-DE"/>
        </w:rPr>
        <w:t>nghìn người.</w:t>
      </w:r>
    </w:p>
    <w:p w14:paraId="739C4AE3" w14:textId="72DECC1C" w:rsidR="000708ED" w:rsidRPr="009620E0" w:rsidRDefault="000708ED" w:rsidP="00A20988">
      <w:pPr>
        <w:tabs>
          <w:tab w:val="left" w:pos="851"/>
        </w:tabs>
        <w:spacing w:after="120" w:line="283" w:lineRule="auto"/>
        <w:ind w:firstLine="567"/>
        <w:jc w:val="both"/>
        <w:rPr>
          <w:lang w:val="de-DE"/>
        </w:rPr>
      </w:pPr>
      <w:r w:rsidRPr="009620E0">
        <w:rPr>
          <w:lang w:val="de-DE"/>
        </w:rPr>
        <w:t xml:space="preserve">Về ngộ độc thực phẩm, trong tháng 02/2024 xảy ra 05 vụ với </w:t>
      </w:r>
      <w:r w:rsidRPr="009620E0">
        <w:rPr>
          <w:bCs/>
          <w:lang w:val="pl-PL"/>
        </w:rPr>
        <w:t>189</w:t>
      </w:r>
      <w:r w:rsidRPr="009620E0">
        <w:rPr>
          <w:lang w:val="de-DE"/>
        </w:rPr>
        <w:t xml:space="preserve"> người bị ngộ độc. Tính chung </w:t>
      </w:r>
      <w:r w:rsidR="00E110EA" w:rsidRPr="009620E0">
        <w:rPr>
          <w:lang w:val="de-DE"/>
        </w:rPr>
        <w:t>2</w:t>
      </w:r>
      <w:r w:rsidRPr="009620E0">
        <w:rPr>
          <w:lang w:val="de-DE"/>
        </w:rPr>
        <w:t xml:space="preserve"> tháng đầu năm 2024, cả nước xảy ra 10 vụ với </w:t>
      </w:r>
      <w:r w:rsidRPr="009620E0">
        <w:rPr>
          <w:bCs/>
        </w:rPr>
        <w:t>291</w:t>
      </w:r>
      <w:r w:rsidRPr="009620E0">
        <w:rPr>
          <w:lang w:val="de-DE"/>
        </w:rPr>
        <w:t xml:space="preserve"> người bị ngộ độc (03 người tử vong).</w:t>
      </w:r>
    </w:p>
    <w:p w14:paraId="4DF1CE17" w14:textId="77777777" w:rsidR="000708ED" w:rsidRPr="009620E0" w:rsidRDefault="000708ED" w:rsidP="00A20988">
      <w:pPr>
        <w:spacing w:after="120" w:line="283" w:lineRule="auto"/>
        <w:ind w:firstLine="567"/>
        <w:jc w:val="both"/>
        <w:outlineLvl w:val="0"/>
        <w:rPr>
          <w:rStyle w:val="normalchar"/>
          <w:b/>
          <w:i/>
          <w:lang w:val="nl-NL"/>
        </w:rPr>
      </w:pPr>
      <w:r w:rsidRPr="009620E0">
        <w:rPr>
          <w:b/>
          <w:bCs/>
          <w:i/>
          <w:iCs/>
          <w:lang w:val="pl-PL"/>
        </w:rPr>
        <w:t xml:space="preserve">c) </w:t>
      </w:r>
      <w:r w:rsidRPr="009620E0">
        <w:rPr>
          <w:rStyle w:val="normalchar"/>
          <w:b/>
          <w:i/>
          <w:lang w:val="nl-NL"/>
        </w:rPr>
        <w:t>Hoạt động văn hóa, thể thao</w:t>
      </w:r>
    </w:p>
    <w:p w14:paraId="7550934F" w14:textId="7E7104DF" w:rsidR="00E93AE4" w:rsidRPr="009620E0" w:rsidRDefault="00E93AE4" w:rsidP="00A20988">
      <w:pPr>
        <w:spacing w:after="120" w:line="283" w:lineRule="auto"/>
        <w:ind w:firstLine="567"/>
        <w:jc w:val="both"/>
        <w:rPr>
          <w:bCs/>
        </w:rPr>
      </w:pPr>
      <w:r w:rsidRPr="009620E0">
        <w:rPr>
          <w:bCs/>
        </w:rPr>
        <w:t xml:space="preserve">Theo thống kê của Bộ Văn hóa, Thể thao và Du lịch vào dịp đầu xuân năm mới có rất nhiều hoạt động lễ hội diễn ra ở khắp các địa phương trên cả nước, nổi bật như: </w:t>
      </w:r>
      <w:r w:rsidRPr="009620E0">
        <w:rPr>
          <w:bCs/>
          <w:spacing w:val="-4"/>
          <w:lang w:val="nl-NL"/>
        </w:rPr>
        <w:t>Lễ hội Gióng đền Sóc - Hà Nội khai hội ngày 15-17/02/2024</w:t>
      </w:r>
      <w:r w:rsidR="007C547D" w:rsidRPr="009620E0">
        <w:rPr>
          <w:bCs/>
          <w:spacing w:val="-4"/>
          <w:lang w:val="nl-NL"/>
        </w:rPr>
        <w:t>,</w:t>
      </w:r>
      <w:r w:rsidRPr="009620E0">
        <w:rPr>
          <w:bCs/>
          <w:spacing w:val="-4"/>
          <w:lang w:val="nl-NL"/>
        </w:rPr>
        <w:t xml:space="preserve"> </w:t>
      </w:r>
      <w:r w:rsidRPr="009620E0">
        <w:rPr>
          <w:bCs/>
        </w:rPr>
        <w:t>lễ hội Đống Đa - Tây Sơn - Bình Định diễn ra từ 13-14/02/2024, Lễ hội núi Bà Đen diễn ra từ 13/02/2024, lễ khai hội chùa Hương diễn ra từ 15/02/2024</w:t>
      </w:r>
      <w:r w:rsidR="007C547D" w:rsidRPr="009620E0">
        <w:rPr>
          <w:bCs/>
        </w:rPr>
        <w:t>,</w:t>
      </w:r>
      <w:r w:rsidRPr="009620E0">
        <w:rPr>
          <w:bCs/>
        </w:rPr>
        <w:t xml:space="preserve"> lễ hội Yên Tử - Quảng Ninh diễn ra từ 19/02/2024, Hội Lim - Bắc Ninh diễn ra từ ngày 21-22/02/2024, Hội Đền Trần - Nam Định và  lễ hội chùa Tam Chúc diễn ra từ ngày 21/02/2024; lễ hội đền Đông Cuông diễn ra từ ngày </w:t>
      </w:r>
      <w:r w:rsidRPr="009620E0">
        <w:rPr>
          <w:bCs/>
          <w:spacing w:val="-4"/>
          <w:lang w:val="nl-NL"/>
        </w:rPr>
        <w:t>20-21/02/2024...</w:t>
      </w:r>
    </w:p>
    <w:p w14:paraId="2EC60201" w14:textId="0C1EC3BE" w:rsidR="00E93AE4" w:rsidRPr="009620E0" w:rsidRDefault="00E93AE4" w:rsidP="00A20988">
      <w:pPr>
        <w:spacing w:after="120" w:line="283" w:lineRule="auto"/>
        <w:ind w:firstLine="567"/>
        <w:jc w:val="both"/>
        <w:rPr>
          <w:bCs/>
        </w:rPr>
      </w:pPr>
      <w:r w:rsidRPr="009620E0">
        <w:rPr>
          <w:bCs/>
        </w:rPr>
        <w:t>Phong trào thể thao quần chúng tiếp tục được đẩy mạnh, các phong trào thể dục, thể thao được tổ chức rộng khắp, một số hoạt động nổi bật diễn ra trong tháng như: Lễ hội đua thuyền truyền thống trên sông Cà Ty diễn ra tại Phan Thiết ngày 11/02/2024 thu hút gần 300 vận động viên; lễ hội vật truyền thống Liễu đôi năm Giáp Thìn diễn ra tại tỉnh Hà Nam ngày 07/22/2024 thu hút hơn 200 vận động viên…</w:t>
      </w:r>
    </w:p>
    <w:p w14:paraId="67EC024A" w14:textId="09E4224C" w:rsidR="00E93AE4" w:rsidRPr="009620E0" w:rsidRDefault="00E93AE4" w:rsidP="00A20988">
      <w:pPr>
        <w:spacing w:after="120" w:line="283" w:lineRule="auto"/>
        <w:ind w:firstLine="567"/>
        <w:jc w:val="both"/>
        <w:rPr>
          <w:bCs/>
        </w:rPr>
      </w:pPr>
      <w:r w:rsidRPr="009620E0">
        <w:rPr>
          <w:bCs/>
        </w:rPr>
        <w:t xml:space="preserve">Về thể thao thành tích cao, trong tháng 02/2024 diễn ra một số sự kiện và thành tích nổi bật như: Cầu lông Việt Nam giành chức vô địch Fajr International Challenge 2024 tổ chức tại I-ran từ ngày 30/01-04/02/2024; Việt Nam giành huy chương bạc hạng 49kg nữ giải vô địch Taekwondo Mỹ mở rộng 2024; đội tuyển Việt Nam </w:t>
      </w:r>
      <w:r w:rsidRPr="009620E0">
        <w:rPr>
          <w:bCs/>
          <w:bdr w:val="none" w:sz="0" w:space="0" w:color="auto" w:frame="1"/>
          <w:lang w:val="vi-VN"/>
        </w:rPr>
        <w:t xml:space="preserve">xuất sắc để giành tấm </w:t>
      </w:r>
      <w:r w:rsidRPr="009620E0">
        <w:rPr>
          <w:bCs/>
          <w:bdr w:val="none" w:sz="0" w:space="0" w:color="auto" w:frame="1"/>
        </w:rPr>
        <w:t xml:space="preserve">huy chương bạc </w:t>
      </w:r>
      <w:r w:rsidRPr="009620E0">
        <w:rPr>
          <w:bCs/>
          <w:bdr w:val="none" w:sz="0" w:space="0" w:color="auto" w:frame="1"/>
          <w:lang w:val="vi-VN"/>
        </w:rPr>
        <w:t>hạng cân dưới 67kg nữ</w:t>
      </w:r>
      <w:r w:rsidRPr="009620E0">
        <w:rPr>
          <w:bCs/>
          <w:bdr w:val="none" w:sz="0" w:space="0" w:color="auto" w:frame="1"/>
        </w:rPr>
        <w:t xml:space="preserve"> tại giải </w:t>
      </w:r>
      <w:r w:rsidRPr="009620E0">
        <w:rPr>
          <w:bCs/>
          <w:bdr w:val="none" w:sz="0" w:space="0" w:color="auto" w:frame="1"/>
          <w:lang w:val="vi-VN"/>
        </w:rPr>
        <w:t>Taekwondo Ca</w:t>
      </w:r>
      <w:r w:rsidRPr="009620E0">
        <w:rPr>
          <w:bCs/>
          <w:bdr w:val="none" w:sz="0" w:space="0" w:color="auto" w:frame="1"/>
        </w:rPr>
        <w:t>-</w:t>
      </w:r>
      <w:r w:rsidRPr="009620E0">
        <w:rPr>
          <w:bCs/>
          <w:bdr w:val="none" w:sz="0" w:space="0" w:color="auto" w:frame="1"/>
          <w:lang w:val="vi-VN"/>
        </w:rPr>
        <w:t>na</w:t>
      </w:r>
      <w:r w:rsidRPr="009620E0">
        <w:rPr>
          <w:bCs/>
          <w:bdr w:val="none" w:sz="0" w:space="0" w:color="auto" w:frame="1"/>
        </w:rPr>
        <w:t>-</w:t>
      </w:r>
      <w:r w:rsidRPr="009620E0">
        <w:rPr>
          <w:bCs/>
          <w:bdr w:val="none" w:sz="0" w:space="0" w:color="auto" w:frame="1"/>
          <w:lang w:val="vi-VN"/>
        </w:rPr>
        <w:t xml:space="preserve">da mở rộng 2024, diễn ra từ ngày </w:t>
      </w:r>
      <w:r w:rsidRPr="009620E0">
        <w:rPr>
          <w:bCs/>
          <w:bdr w:val="none" w:sz="0" w:space="0" w:color="auto" w:frame="1"/>
        </w:rPr>
        <w:t>0</w:t>
      </w:r>
      <w:r w:rsidRPr="009620E0">
        <w:rPr>
          <w:bCs/>
          <w:bdr w:val="none" w:sz="0" w:space="0" w:color="auto" w:frame="1"/>
          <w:lang w:val="vi-VN"/>
        </w:rPr>
        <w:t>8</w:t>
      </w:r>
      <w:r w:rsidRPr="009620E0">
        <w:rPr>
          <w:bCs/>
          <w:bdr w:val="none" w:sz="0" w:space="0" w:color="auto" w:frame="1"/>
        </w:rPr>
        <w:t>-</w:t>
      </w:r>
      <w:r w:rsidRPr="009620E0">
        <w:rPr>
          <w:bCs/>
          <w:bdr w:val="none" w:sz="0" w:space="0" w:color="auto" w:frame="1"/>
          <w:lang w:val="vi-VN"/>
        </w:rPr>
        <w:t>10/</w:t>
      </w:r>
      <w:r w:rsidRPr="009620E0">
        <w:rPr>
          <w:bCs/>
          <w:bdr w:val="none" w:sz="0" w:space="0" w:color="auto" w:frame="1"/>
        </w:rPr>
        <w:t>0</w:t>
      </w:r>
      <w:r w:rsidRPr="009620E0">
        <w:rPr>
          <w:bCs/>
          <w:bdr w:val="none" w:sz="0" w:space="0" w:color="auto" w:frame="1"/>
          <w:lang w:val="vi-VN"/>
        </w:rPr>
        <w:t>2</w:t>
      </w:r>
      <w:r w:rsidRPr="009620E0">
        <w:rPr>
          <w:bCs/>
          <w:bdr w:val="none" w:sz="0" w:space="0" w:color="auto" w:frame="1"/>
        </w:rPr>
        <w:t xml:space="preserve">/2024 tại </w:t>
      </w:r>
      <w:r w:rsidRPr="009620E0">
        <w:rPr>
          <w:bCs/>
          <w:bdr w:val="none" w:sz="0" w:space="0" w:color="auto" w:frame="1"/>
          <w:lang w:val="vi-VN"/>
        </w:rPr>
        <w:t>Bra</w:t>
      </w:r>
      <w:r w:rsidRPr="009620E0">
        <w:rPr>
          <w:bCs/>
          <w:bdr w:val="none" w:sz="0" w:space="0" w:color="auto" w:frame="1"/>
        </w:rPr>
        <w:t>-xin.</w:t>
      </w:r>
    </w:p>
    <w:p w14:paraId="2F8CFC53" w14:textId="77777777" w:rsidR="000708ED" w:rsidRPr="009620E0" w:rsidRDefault="000708ED" w:rsidP="00A20988">
      <w:pPr>
        <w:spacing w:after="120" w:line="283" w:lineRule="auto"/>
        <w:ind w:firstLine="567"/>
        <w:jc w:val="both"/>
        <w:outlineLvl w:val="0"/>
        <w:rPr>
          <w:b/>
          <w:i/>
          <w:lang w:val="nl-NL"/>
        </w:rPr>
      </w:pPr>
      <w:r w:rsidRPr="009620E0">
        <w:rPr>
          <w:b/>
          <w:i/>
          <w:lang w:val="nl-NL"/>
        </w:rPr>
        <w:t>d) Tai nạn giao thông</w:t>
      </w:r>
      <w:r w:rsidRPr="009620E0">
        <w:rPr>
          <w:b/>
          <w:i/>
          <w:vertAlign w:val="superscript"/>
        </w:rPr>
        <w:footnoteReference w:id="24"/>
      </w:r>
    </w:p>
    <w:p w14:paraId="4EB8CC7A" w14:textId="77777777" w:rsidR="000708ED" w:rsidRPr="009620E0" w:rsidRDefault="000708ED" w:rsidP="00A20988">
      <w:pPr>
        <w:tabs>
          <w:tab w:val="left" w:pos="426"/>
          <w:tab w:val="left" w:pos="900"/>
        </w:tabs>
        <w:spacing w:after="120" w:line="283" w:lineRule="auto"/>
        <w:ind w:firstLine="567"/>
        <w:jc w:val="both"/>
        <w:rPr>
          <w:rFonts w:eastAsia="Calibri"/>
          <w:spacing w:val="-2"/>
          <w:shd w:val="clear" w:color="auto" w:fill="FFFFFF"/>
          <w:lang w:val="de-DE"/>
        </w:rPr>
      </w:pPr>
      <w:r w:rsidRPr="009620E0">
        <w:rPr>
          <w:rFonts w:eastAsia="Calibri"/>
          <w:spacing w:val="-2"/>
          <w:lang w:val="de-DE"/>
        </w:rPr>
        <w:t xml:space="preserve">Trong tháng Hai (từ 15/01-14/02/2024), trên địa bàn cả nước xảy ra 2.421 vụ tai nạn giao thông, bao gồm 1.663 vụ tai nạn giao thông từ ít nghiêm trọng trở lên và 758 vụ va chạm giao thông, làm 1.013 người chết, 1.100 người bị thương và 842 người bị thương nhẹ. So với tháng trước, số vụ tai nạn giao thông giảm 0,5% (số vụ tai nạn giao thông từ ít nghiêm trọng trở lên tăng 3,4% và số vụ va chạm giao thông giảm 8,1%); số người chết tăng 4,8%; số người bị thương tăng 2,2% </w:t>
      </w:r>
      <w:r w:rsidRPr="009620E0">
        <w:rPr>
          <w:rFonts w:eastAsia="Calibri"/>
          <w:spacing w:val="-2"/>
          <w:lang w:val="de-DE"/>
        </w:rPr>
        <w:lastRenderedPageBreak/>
        <w:t xml:space="preserve">và số người bị thương nhẹ giảm 12,4%. So với cùng kỳ năm trước, số vụ tai nạn giao thông tháng Hai gấp 2,9 lần (số vụ tai nạn giao thông từ ít nghiêm trọng trở lên gấp 2,7 lần và số vụ va chạm giao thông gấp 3,7 lần); số người chết gấp 1,9 lần%; số người bị thương gấp 3,3 lần và số người bị thương nhẹ gấp 3,7 lần. </w:t>
      </w:r>
    </w:p>
    <w:p w14:paraId="2289335F" w14:textId="2403B5CA" w:rsidR="000708ED" w:rsidRPr="009620E0" w:rsidRDefault="000708ED" w:rsidP="00A20988">
      <w:pPr>
        <w:tabs>
          <w:tab w:val="left" w:pos="426"/>
          <w:tab w:val="left" w:pos="900"/>
        </w:tabs>
        <w:spacing w:after="120" w:line="283" w:lineRule="auto"/>
        <w:ind w:firstLine="567"/>
        <w:jc w:val="both"/>
        <w:rPr>
          <w:rFonts w:eastAsia="Calibri"/>
          <w:spacing w:val="-2"/>
          <w:lang w:val="de-DE"/>
        </w:rPr>
      </w:pPr>
      <w:r w:rsidRPr="009620E0">
        <w:rPr>
          <w:rFonts w:eastAsia="Calibri"/>
          <w:spacing w:val="-2"/>
          <w:lang w:val="de-DE"/>
        </w:rPr>
        <w:t xml:space="preserve">Tính chung </w:t>
      </w:r>
      <w:r w:rsidR="00E110EA" w:rsidRPr="009620E0">
        <w:rPr>
          <w:rFonts w:eastAsia="Calibri"/>
          <w:spacing w:val="-2"/>
          <w:lang w:val="de-DE"/>
        </w:rPr>
        <w:t>2</w:t>
      </w:r>
      <w:r w:rsidRPr="009620E0">
        <w:rPr>
          <w:rFonts w:eastAsia="Calibri"/>
          <w:spacing w:val="-2"/>
          <w:lang w:val="de-DE"/>
        </w:rPr>
        <w:t xml:space="preserve"> tháng đầu năm nay, trên địa bàn cả nước xảy ra 4.855 vụ tai nạn giao thông, bao gồm 3.272 vụ tai nạn giao thông từ ít nghiêm trọng trở lên và 1.583 vụ va chạm giao thông, làm 1.980 người chết, 2.176 người bị thương và 1.803 người bị thương nhẹ. So với cùng kỳ năm trước, số vụ tai nạn giao thông trong </w:t>
      </w:r>
      <w:r w:rsidR="00E110EA" w:rsidRPr="009620E0">
        <w:rPr>
          <w:rFonts w:eastAsia="Calibri"/>
          <w:spacing w:val="-2"/>
          <w:lang w:val="de-DE"/>
        </w:rPr>
        <w:t>2</w:t>
      </w:r>
      <w:r w:rsidRPr="009620E0">
        <w:rPr>
          <w:rFonts w:eastAsia="Calibri"/>
          <w:spacing w:val="-2"/>
          <w:lang w:val="de-DE"/>
        </w:rPr>
        <w:t xml:space="preserve"> tháng đầu năm nay gấp 3 lần (số vụ tai nạn giao thông từ ít nghiêm trọng trở lên gấp 2,7 lần; số vụ va chạm giao thông gấp 4 lần); số người chết gấp 1,9 lần; số người bị thương gấp 3,4 lần và số người bị thương nhẹ gấp 4,2 lần. Bình quân </w:t>
      </w:r>
      <w:r w:rsidR="000A3B20" w:rsidRPr="009620E0">
        <w:rPr>
          <w:rFonts w:eastAsia="Calibri"/>
          <w:spacing w:val="-2"/>
          <w:lang w:val="de-DE"/>
        </w:rPr>
        <w:t>m</w:t>
      </w:r>
      <w:r w:rsidR="004F5550" w:rsidRPr="009620E0">
        <w:rPr>
          <w:rFonts w:eastAsia="Calibri"/>
          <w:spacing w:val="-2"/>
          <w:lang w:val="de-DE"/>
        </w:rPr>
        <w:t>ột</w:t>
      </w:r>
      <w:r w:rsidRPr="009620E0">
        <w:rPr>
          <w:rFonts w:eastAsia="Calibri"/>
          <w:spacing w:val="-2"/>
          <w:lang w:val="de-DE"/>
        </w:rPr>
        <w:t xml:space="preserve"> ngày trong </w:t>
      </w:r>
      <w:r w:rsidR="00E110EA" w:rsidRPr="009620E0">
        <w:rPr>
          <w:rFonts w:eastAsia="Calibri"/>
          <w:spacing w:val="-2"/>
          <w:lang w:val="de-DE"/>
        </w:rPr>
        <w:t>2</w:t>
      </w:r>
      <w:r w:rsidRPr="009620E0">
        <w:rPr>
          <w:rFonts w:eastAsia="Calibri"/>
          <w:spacing w:val="-2"/>
          <w:lang w:val="de-DE"/>
        </w:rPr>
        <w:t xml:space="preserve"> tháng đầu năm, trên địa bàn cả nước xảy ra 78 vụ tai nạn giao thông, gồm 52 vụ tai nạn giao thông từ ít nghiêm trọng trở lên và 26 vụ va chạm giao thông, làm 32 người chết, 35 người bị thương và 29 người bị thương nhẹ.</w:t>
      </w:r>
    </w:p>
    <w:p w14:paraId="04848F31" w14:textId="2CEA6668" w:rsidR="000708ED" w:rsidRPr="009620E0" w:rsidRDefault="000708ED" w:rsidP="00A20988">
      <w:pPr>
        <w:pStyle w:val="Normal11"/>
        <w:spacing w:before="0" w:beforeAutospacing="0" w:after="120" w:afterAutospacing="0" w:line="283" w:lineRule="auto"/>
        <w:ind w:firstLine="567"/>
        <w:jc w:val="both"/>
        <w:rPr>
          <w:rFonts w:ascii="Times New Roman" w:hAnsi="Times New Roman" w:cs="Times New Roman"/>
          <w:b/>
          <w:i/>
          <w:sz w:val="28"/>
          <w:szCs w:val="28"/>
          <w:lang w:val="pl-PL"/>
        </w:rPr>
      </w:pPr>
      <w:r w:rsidRPr="009620E0">
        <w:rPr>
          <w:rFonts w:ascii="Times New Roman" w:hAnsi="Times New Roman" w:cs="Times New Roman"/>
          <w:b/>
          <w:i/>
          <w:sz w:val="28"/>
          <w:szCs w:val="28"/>
          <w:lang w:val="pl-PL"/>
        </w:rPr>
        <w:t>đ) Thiệt hại do thiên tai</w:t>
      </w:r>
      <w:r w:rsidRPr="009620E0">
        <w:rPr>
          <w:rStyle w:val="FootnoteReference"/>
          <w:rFonts w:ascii="Times New Roman" w:eastAsia="Calibri" w:hAnsi="Times New Roman" w:cs="Times New Roman"/>
          <w:i/>
          <w:sz w:val="28"/>
          <w:szCs w:val="28"/>
          <w:lang w:val="pl-PL"/>
        </w:rPr>
        <w:footnoteReference w:id="25"/>
      </w:r>
    </w:p>
    <w:p w14:paraId="5760F66C" w14:textId="7C4D89F6" w:rsidR="004F5550" w:rsidRPr="009620E0" w:rsidRDefault="004F5550" w:rsidP="00A20988">
      <w:pPr>
        <w:tabs>
          <w:tab w:val="left" w:pos="426"/>
          <w:tab w:val="left" w:pos="900"/>
        </w:tabs>
        <w:spacing w:after="120" w:line="283" w:lineRule="auto"/>
        <w:ind w:firstLine="567"/>
        <w:jc w:val="both"/>
        <w:rPr>
          <w:lang w:val="de-DE"/>
        </w:rPr>
      </w:pPr>
      <w:r w:rsidRPr="009620E0">
        <w:rPr>
          <w:lang w:val="de-DE"/>
        </w:rPr>
        <w:t>Thiệt hại do thiên tai trong tháng Hai chủ yếu do ảnh hưởng của rét đậm, rét hại. Thiên tai trong tháng làm 12 ngôi nhà bị sập đổ, cuốn trôi và hư hỏng; hơn 1 nghìn ha lúa và hoa màu bị hư hỏng; 1.024 con gia súc, gia cầm bị chết; tổng giá trị thiệt hại về tài sản do thiên tai gây ra trong tháng</w:t>
      </w:r>
      <w:r w:rsidR="007C547D" w:rsidRPr="009620E0">
        <w:rPr>
          <w:lang w:val="de-DE"/>
        </w:rPr>
        <w:t xml:space="preserve"> ước tính </w:t>
      </w:r>
      <w:r w:rsidRPr="009620E0">
        <w:rPr>
          <w:lang w:val="de-DE"/>
        </w:rPr>
        <w:t>16,9 tỷ đồng (</w:t>
      </w:r>
      <w:r w:rsidRPr="009620E0">
        <w:rPr>
          <w:rFonts w:eastAsia="Calibri" w:cs="Arial"/>
          <w:bCs/>
          <w:szCs w:val="22"/>
        </w:rPr>
        <w:t>thiệt hại do rét đậm rét hại gây ra khoảng hơn 10,5 tỷ đồng, chiếm 62,2% tổng thiệt hại)</w:t>
      </w:r>
      <w:r w:rsidRPr="009620E0">
        <w:rPr>
          <w:lang w:val="de-DE"/>
        </w:rPr>
        <w:t>, tăng 10,2% so với cùng kỳ năm trước</w:t>
      </w:r>
      <w:r w:rsidRPr="009620E0">
        <w:rPr>
          <w:snapToGrid w:val="0"/>
          <w:lang w:val="nl-NL"/>
        </w:rPr>
        <w:t>.</w:t>
      </w:r>
      <w:r w:rsidRPr="009620E0" w:rsidDel="004C76CE">
        <w:rPr>
          <w:lang w:val="de-DE"/>
        </w:rPr>
        <w:t xml:space="preserve"> </w:t>
      </w:r>
      <w:r w:rsidRPr="009620E0">
        <w:rPr>
          <w:rFonts w:eastAsia="Calibri"/>
          <w:lang w:val="de-DE"/>
        </w:rPr>
        <w:t xml:space="preserve">Tính chung </w:t>
      </w:r>
      <w:r w:rsidR="007C547D" w:rsidRPr="009620E0">
        <w:rPr>
          <w:rFonts w:eastAsia="Calibri"/>
          <w:lang w:val="de-DE"/>
        </w:rPr>
        <w:t>2</w:t>
      </w:r>
      <w:r w:rsidRPr="009620E0">
        <w:rPr>
          <w:rFonts w:eastAsia="Calibri"/>
          <w:lang w:val="de-DE"/>
        </w:rPr>
        <w:t xml:space="preserve"> tháng đầu năm nay, thiên tai làm 09 người mất tích và 01 người bị thương; 84 ngôi nhà bị sập đổ và hư hỏng; </w:t>
      </w:r>
      <w:r w:rsidRPr="009620E0">
        <w:rPr>
          <w:lang w:val="de-DE"/>
        </w:rPr>
        <w:t>1,2 nghìn con gia súc, gia cầm bị chết;</w:t>
      </w:r>
      <w:r w:rsidRPr="009620E0">
        <w:rPr>
          <w:rFonts w:eastAsia="Calibri"/>
          <w:lang w:val="de-DE"/>
        </w:rPr>
        <w:t xml:space="preserve"> 2,1 nghìn ha lúa và hoa màu bị hư hỏng; tổng giá trị thiệt hại về tài sản ước tính 79,1 tỷ đồng, gấp 2,5 lần cùng kỳ năm 2023.</w:t>
      </w:r>
    </w:p>
    <w:p w14:paraId="08495D35" w14:textId="77777777" w:rsidR="000708ED" w:rsidRPr="009620E0" w:rsidRDefault="000708ED" w:rsidP="00A20988">
      <w:pPr>
        <w:tabs>
          <w:tab w:val="left" w:pos="426"/>
          <w:tab w:val="left" w:pos="900"/>
        </w:tabs>
        <w:spacing w:after="120" w:line="283" w:lineRule="auto"/>
        <w:ind w:firstLine="567"/>
        <w:jc w:val="both"/>
        <w:rPr>
          <w:rFonts w:eastAsia="Calibri"/>
          <w:b/>
          <w:i/>
          <w:lang w:val="de-DE"/>
        </w:rPr>
      </w:pPr>
      <w:r w:rsidRPr="009620E0">
        <w:rPr>
          <w:rFonts w:eastAsia="Calibri"/>
          <w:b/>
          <w:i/>
          <w:lang w:val="de-DE"/>
        </w:rPr>
        <w:t>e)</w:t>
      </w:r>
      <w:r w:rsidRPr="009620E0">
        <w:rPr>
          <w:b/>
          <w:i/>
          <w:lang w:val="pl-PL"/>
        </w:rPr>
        <w:t xml:space="preserve"> Bảo vệ môi trường và phòng chống cháy, nổ</w:t>
      </w:r>
    </w:p>
    <w:p w14:paraId="0189680A" w14:textId="02281BF8" w:rsidR="000708ED" w:rsidRPr="009620E0" w:rsidRDefault="000708ED" w:rsidP="00A20988">
      <w:pPr>
        <w:tabs>
          <w:tab w:val="left" w:pos="426"/>
          <w:tab w:val="left" w:pos="900"/>
        </w:tabs>
        <w:spacing w:after="120" w:line="283" w:lineRule="auto"/>
        <w:ind w:firstLine="567"/>
        <w:jc w:val="both"/>
        <w:rPr>
          <w:rFonts w:eastAsia="Calibri"/>
          <w:lang w:val="de-DE"/>
        </w:rPr>
      </w:pPr>
      <w:r w:rsidRPr="009620E0">
        <w:rPr>
          <w:rFonts w:eastAsia="Calibri"/>
          <w:lang w:val="de-DE"/>
        </w:rPr>
        <w:t xml:space="preserve">Trong tháng 02/2024, </w:t>
      </w:r>
      <w:r w:rsidRPr="009620E0">
        <w:rPr>
          <w:lang w:val="de-DE"/>
        </w:rPr>
        <w:t xml:space="preserve">theo báo cáo từ Sở Tài nguyên và Môi trường, Công an tỉnh, thành phố trực thuộc Trung ương được các Cục Thống kê tổng hợp, các cơ quan chức năng đã phát hiện </w:t>
      </w:r>
      <w:r w:rsidRPr="009620E0">
        <w:rPr>
          <w:rFonts w:eastAsia="Calibri"/>
          <w:lang w:val="de-DE"/>
        </w:rPr>
        <w:t>2.367 vụ vi phạm môi trường, trong đó xử lý 2.094 vụ với tổng số tiền phạt gần 28,6 tỷ đồng, tăng 9,7% so với tháng trước và tăng 56,7% so với cùng kỳ năm trước. Tính chung</w:t>
      </w:r>
      <w:r w:rsidR="00E110EA" w:rsidRPr="009620E0">
        <w:rPr>
          <w:rFonts w:eastAsia="Calibri"/>
          <w:lang w:val="de-DE"/>
        </w:rPr>
        <w:t xml:space="preserve"> 2</w:t>
      </w:r>
      <w:r w:rsidRPr="009620E0">
        <w:rPr>
          <w:rFonts w:eastAsia="Calibri"/>
          <w:lang w:val="de-DE"/>
        </w:rPr>
        <w:t xml:space="preserve"> tháng đầu năm nay đã phát hiện 5.810 vụ vi phạm môi trường, trong đó xử lý 5.046 vụ với tổng số tiền phạt là 54,7 tỷ đồng, tăng 18,3% so với cùng kỳ năm trước.</w:t>
      </w:r>
    </w:p>
    <w:p w14:paraId="0F68FA70" w14:textId="21759B78" w:rsidR="000708ED" w:rsidRPr="009620E0" w:rsidRDefault="000708ED" w:rsidP="00A20988">
      <w:pPr>
        <w:pStyle w:val="Normal10"/>
        <w:spacing w:before="0" w:beforeAutospacing="0" w:after="120" w:afterAutospacing="0" w:line="283" w:lineRule="auto"/>
        <w:ind w:firstLine="567"/>
        <w:jc w:val="both"/>
        <w:rPr>
          <w:rStyle w:val="normalchar"/>
          <w:b/>
          <w:bCs/>
          <w:i/>
          <w:sz w:val="28"/>
          <w:szCs w:val="28"/>
          <w:lang w:val="nl-NL"/>
        </w:rPr>
      </w:pPr>
      <w:r w:rsidRPr="009620E0">
        <w:rPr>
          <w:rFonts w:ascii="Times New Roman" w:eastAsia="Calibri" w:hAnsi="Times New Roman" w:cs="Times New Roman"/>
          <w:sz w:val="28"/>
          <w:szCs w:val="28"/>
          <w:lang w:val="de-DE"/>
        </w:rPr>
        <w:lastRenderedPageBreak/>
        <w:t xml:space="preserve">Trong </w:t>
      </w:r>
      <w:r w:rsidR="00956712" w:rsidRPr="009620E0">
        <w:rPr>
          <w:rFonts w:ascii="Times New Roman" w:eastAsia="Calibri" w:hAnsi="Times New Roman" w:cs="Times New Roman"/>
          <w:sz w:val="28"/>
          <w:szCs w:val="28"/>
          <w:lang w:val="de-DE"/>
        </w:rPr>
        <w:t>t</w:t>
      </w:r>
      <w:r w:rsidRPr="009620E0">
        <w:rPr>
          <w:rFonts w:ascii="Times New Roman" w:eastAsia="Calibri" w:hAnsi="Times New Roman" w:cs="Times New Roman"/>
          <w:sz w:val="28"/>
          <w:szCs w:val="28"/>
          <w:lang w:val="de-DE"/>
        </w:rPr>
        <w:t>háng</w:t>
      </w:r>
      <w:r w:rsidRPr="009620E0">
        <w:rPr>
          <w:rStyle w:val="FootnoteReference"/>
          <w:rFonts w:ascii="Times New Roman" w:eastAsia="Calibri" w:hAnsi="Times New Roman" w:cs="Times New Roman"/>
          <w:sz w:val="28"/>
          <w:szCs w:val="28"/>
          <w:lang w:val="de-DE"/>
        </w:rPr>
        <w:footnoteReference w:id="26"/>
      </w:r>
      <w:r w:rsidRPr="009620E0">
        <w:rPr>
          <w:rFonts w:ascii="Times New Roman" w:eastAsia="Calibri" w:hAnsi="Times New Roman" w:cs="Times New Roman"/>
          <w:sz w:val="28"/>
          <w:szCs w:val="28"/>
          <w:lang w:val="de-DE"/>
        </w:rPr>
        <w:t xml:space="preserve">, cả nước xảy ra 449 vụ cháy, nổ, làm 11 người chết và 12 người bị thương, thiệt hại ước tính 27,4 tỷ đồng, tăng 40,4% so với tháng trước và gấp 2,9 lần cùng kỳ năm trước. Tính chung </w:t>
      </w:r>
      <w:r w:rsidR="00E110EA" w:rsidRPr="009620E0">
        <w:rPr>
          <w:rFonts w:ascii="Times New Roman" w:eastAsia="Calibri" w:hAnsi="Times New Roman" w:cs="Times New Roman"/>
          <w:sz w:val="28"/>
          <w:szCs w:val="28"/>
          <w:lang w:val="de-DE"/>
        </w:rPr>
        <w:t>2</w:t>
      </w:r>
      <w:r w:rsidRPr="009620E0">
        <w:rPr>
          <w:rFonts w:ascii="Times New Roman" w:eastAsia="Calibri" w:hAnsi="Times New Roman" w:cs="Times New Roman"/>
          <w:sz w:val="28"/>
          <w:szCs w:val="28"/>
          <w:lang w:val="de-DE"/>
        </w:rPr>
        <w:t xml:space="preserve"> tháng đầu năm nay, trên địa bàn cả nước xảy ra 825 vụ cháy, nổ, làm 16 người chết và 13 người bị thương, thiệt hại ước tính 46,9 tỷ đồng, gấp 2,8 lần cùng kỳ năm trước./.</w:t>
      </w:r>
    </w:p>
    <w:tbl>
      <w:tblPr>
        <w:tblW w:w="0" w:type="auto"/>
        <w:tblInd w:w="108" w:type="dxa"/>
        <w:tblLook w:val="04A0" w:firstRow="1" w:lastRow="0" w:firstColumn="1" w:lastColumn="0" w:noHBand="0" w:noVBand="1"/>
      </w:tblPr>
      <w:tblGrid>
        <w:gridCol w:w="4355"/>
        <w:gridCol w:w="4513"/>
      </w:tblGrid>
      <w:tr w:rsidR="00DC7810" w:rsidRPr="009620E0" w14:paraId="636EBB5F" w14:textId="77777777" w:rsidTr="00272057">
        <w:tc>
          <w:tcPr>
            <w:tcW w:w="4355" w:type="dxa"/>
            <w:shd w:val="clear" w:color="auto" w:fill="auto"/>
          </w:tcPr>
          <w:p w14:paraId="1145408C" w14:textId="77777777" w:rsidR="00DC7810" w:rsidRPr="009620E0" w:rsidRDefault="00DC7810" w:rsidP="00AD7963">
            <w:pPr>
              <w:ind w:left="-57"/>
              <w:rPr>
                <w:b/>
                <w:i/>
                <w:sz w:val="24"/>
                <w:lang w:val="nl-NL"/>
              </w:rPr>
            </w:pPr>
            <w:r w:rsidRPr="009620E0">
              <w:rPr>
                <w:b/>
                <w:i/>
                <w:sz w:val="24"/>
                <w:lang w:val="nl-NL"/>
              </w:rPr>
              <w:t>Nơi nhận:</w:t>
            </w:r>
          </w:p>
          <w:p w14:paraId="4FF32DDA" w14:textId="77777777" w:rsidR="00A968F9" w:rsidRPr="009620E0" w:rsidRDefault="00A968F9" w:rsidP="00AD7963">
            <w:pPr>
              <w:ind w:left="-57"/>
              <w:rPr>
                <w:sz w:val="22"/>
                <w:szCs w:val="22"/>
                <w:lang w:val="nl-NL"/>
              </w:rPr>
            </w:pPr>
            <w:r w:rsidRPr="009620E0">
              <w:rPr>
                <w:sz w:val="22"/>
                <w:szCs w:val="22"/>
                <w:lang w:val="nl-NL"/>
              </w:rPr>
              <w:t>- Tổng Bí thư;</w:t>
            </w:r>
          </w:p>
          <w:p w14:paraId="28C9EB0A" w14:textId="6C74987F" w:rsidR="00DC7810" w:rsidRPr="009620E0" w:rsidRDefault="00A968F9" w:rsidP="00AD7963">
            <w:pPr>
              <w:ind w:left="-57"/>
              <w:rPr>
                <w:sz w:val="22"/>
                <w:szCs w:val="22"/>
                <w:lang w:val="nl-NL"/>
              </w:rPr>
            </w:pPr>
            <w:r w:rsidRPr="009620E0">
              <w:rPr>
                <w:sz w:val="22"/>
                <w:szCs w:val="22"/>
                <w:lang w:val="nl-NL"/>
              </w:rPr>
              <w:t>-</w:t>
            </w:r>
            <w:r w:rsidR="00DC7810" w:rsidRPr="009620E0">
              <w:rPr>
                <w:sz w:val="22"/>
                <w:szCs w:val="22"/>
                <w:lang w:val="nl-NL"/>
              </w:rPr>
              <w:t xml:space="preserve"> Chủ tịch nước;</w:t>
            </w:r>
          </w:p>
          <w:p w14:paraId="654AB09A" w14:textId="77777777" w:rsidR="00DC7810" w:rsidRPr="009620E0" w:rsidRDefault="00DC7810" w:rsidP="00AD7963">
            <w:pPr>
              <w:ind w:left="-57"/>
              <w:rPr>
                <w:sz w:val="22"/>
                <w:szCs w:val="22"/>
                <w:lang w:val="nl-NL"/>
              </w:rPr>
            </w:pPr>
            <w:r w:rsidRPr="009620E0">
              <w:rPr>
                <w:sz w:val="22"/>
                <w:szCs w:val="22"/>
                <w:lang w:val="nl-NL"/>
              </w:rPr>
              <w:t>- Chủ tịch Quốc hội;</w:t>
            </w:r>
          </w:p>
          <w:p w14:paraId="7D65F934" w14:textId="77777777" w:rsidR="00DC7810" w:rsidRPr="009620E0" w:rsidRDefault="00DC7810" w:rsidP="00AD7963">
            <w:pPr>
              <w:ind w:left="-57"/>
              <w:rPr>
                <w:sz w:val="22"/>
                <w:szCs w:val="22"/>
                <w:lang w:val="nl-NL"/>
              </w:rPr>
            </w:pPr>
            <w:r w:rsidRPr="009620E0">
              <w:rPr>
                <w:sz w:val="22"/>
                <w:szCs w:val="22"/>
                <w:lang w:val="nl-NL"/>
              </w:rPr>
              <w:t>- Thủ tướng Chính phủ;</w:t>
            </w:r>
          </w:p>
          <w:p w14:paraId="4C164A5C" w14:textId="77777777" w:rsidR="00DC7810" w:rsidRPr="009620E0" w:rsidRDefault="00DC7810" w:rsidP="00AD7963">
            <w:pPr>
              <w:ind w:left="-57"/>
              <w:rPr>
                <w:sz w:val="22"/>
                <w:szCs w:val="22"/>
                <w:lang w:val="nl-NL"/>
              </w:rPr>
            </w:pPr>
            <w:r w:rsidRPr="009620E0">
              <w:rPr>
                <w:sz w:val="22"/>
                <w:szCs w:val="22"/>
                <w:lang w:val="nl-NL"/>
              </w:rPr>
              <w:t>- Các Phó Thủ tướng Chính phủ;</w:t>
            </w:r>
          </w:p>
          <w:p w14:paraId="0E2F78AD" w14:textId="77777777" w:rsidR="00DC7810" w:rsidRPr="009620E0" w:rsidRDefault="00DC7810" w:rsidP="00AD7963">
            <w:pPr>
              <w:ind w:left="-57"/>
              <w:rPr>
                <w:sz w:val="22"/>
                <w:szCs w:val="22"/>
                <w:lang w:val="nl-NL"/>
              </w:rPr>
            </w:pPr>
            <w:r w:rsidRPr="009620E0">
              <w:rPr>
                <w:sz w:val="22"/>
                <w:szCs w:val="22"/>
                <w:lang w:val="nl-NL"/>
              </w:rPr>
              <w:t>- Lãnh đạo Bộ Kế hoạch và Đầu tư;</w:t>
            </w:r>
          </w:p>
          <w:p w14:paraId="4E3542BD" w14:textId="77777777" w:rsidR="00DC7810" w:rsidRPr="009620E0" w:rsidRDefault="00DC7810" w:rsidP="00AD7963">
            <w:pPr>
              <w:ind w:left="-57"/>
              <w:rPr>
                <w:sz w:val="22"/>
                <w:szCs w:val="22"/>
                <w:lang w:val="nl-NL"/>
              </w:rPr>
            </w:pPr>
            <w:r w:rsidRPr="009620E0">
              <w:rPr>
                <w:sz w:val="22"/>
                <w:szCs w:val="22"/>
                <w:lang w:val="nl-NL"/>
              </w:rPr>
              <w:t>- Các cơ quan thuộc Trung ương Đảng;</w:t>
            </w:r>
          </w:p>
          <w:p w14:paraId="6C4E27D8" w14:textId="77777777" w:rsidR="00DC7810" w:rsidRPr="009620E0" w:rsidRDefault="00DC7810" w:rsidP="00AD7963">
            <w:pPr>
              <w:ind w:left="-57"/>
              <w:rPr>
                <w:sz w:val="22"/>
                <w:szCs w:val="22"/>
                <w:lang w:val="nl-NL"/>
              </w:rPr>
            </w:pPr>
            <w:r w:rsidRPr="009620E0">
              <w:rPr>
                <w:sz w:val="22"/>
                <w:szCs w:val="22"/>
                <w:lang w:val="nl-NL"/>
              </w:rPr>
              <w:t>- Văn phòng Chủ tịch nước;</w:t>
            </w:r>
          </w:p>
          <w:p w14:paraId="0D5B8BD9" w14:textId="77777777" w:rsidR="00DC7810" w:rsidRPr="009620E0" w:rsidRDefault="00DC7810" w:rsidP="00AD7963">
            <w:pPr>
              <w:ind w:left="-57"/>
              <w:rPr>
                <w:sz w:val="22"/>
                <w:szCs w:val="22"/>
                <w:lang w:val="nl-NL"/>
              </w:rPr>
            </w:pPr>
            <w:r w:rsidRPr="009620E0">
              <w:rPr>
                <w:sz w:val="22"/>
                <w:szCs w:val="22"/>
                <w:lang w:val="nl-NL"/>
              </w:rPr>
              <w:t>- Các cơ quan thuộc Quốc hội;</w:t>
            </w:r>
          </w:p>
          <w:p w14:paraId="0C10B969" w14:textId="77777777" w:rsidR="00DC7810" w:rsidRPr="009620E0" w:rsidRDefault="00DC7810" w:rsidP="00AD7963">
            <w:pPr>
              <w:ind w:left="-57"/>
              <w:rPr>
                <w:sz w:val="22"/>
                <w:szCs w:val="22"/>
                <w:lang w:val="nl-NL"/>
              </w:rPr>
            </w:pPr>
            <w:r w:rsidRPr="009620E0">
              <w:rPr>
                <w:sz w:val="22"/>
                <w:szCs w:val="22"/>
                <w:lang w:val="nl-NL"/>
              </w:rPr>
              <w:t>- Các Bộ, cơ quan ngang Bộ,</w:t>
            </w:r>
          </w:p>
          <w:p w14:paraId="78A59FBF" w14:textId="77777777" w:rsidR="00DC7810" w:rsidRPr="009620E0" w:rsidRDefault="00DC7810" w:rsidP="00AD7963">
            <w:pPr>
              <w:ind w:left="-57"/>
              <w:rPr>
                <w:sz w:val="22"/>
                <w:szCs w:val="22"/>
              </w:rPr>
            </w:pPr>
            <w:r w:rsidRPr="009620E0">
              <w:rPr>
                <w:sz w:val="22"/>
                <w:szCs w:val="22"/>
                <w:lang w:val="nl-NL"/>
              </w:rPr>
              <w:t xml:space="preserve">   </w:t>
            </w:r>
            <w:r w:rsidRPr="009620E0">
              <w:rPr>
                <w:sz w:val="22"/>
                <w:szCs w:val="22"/>
              </w:rPr>
              <w:t>cơ quan thuộc Chính phủ;</w:t>
            </w:r>
          </w:p>
          <w:p w14:paraId="04EE61D8" w14:textId="77777777" w:rsidR="00DC7810" w:rsidRPr="009620E0" w:rsidRDefault="00DC7810" w:rsidP="00AD7963">
            <w:pPr>
              <w:ind w:left="-57"/>
              <w:rPr>
                <w:sz w:val="22"/>
                <w:szCs w:val="22"/>
              </w:rPr>
            </w:pPr>
            <w:r w:rsidRPr="009620E0">
              <w:rPr>
                <w:sz w:val="22"/>
                <w:szCs w:val="22"/>
              </w:rPr>
              <w:t>- Toà án Nhân dân tối cao;</w:t>
            </w:r>
          </w:p>
          <w:p w14:paraId="482C4DE5" w14:textId="77777777" w:rsidR="00DC7810" w:rsidRPr="009620E0" w:rsidRDefault="00DC7810" w:rsidP="00AD7963">
            <w:pPr>
              <w:ind w:left="-57"/>
              <w:rPr>
                <w:sz w:val="22"/>
                <w:szCs w:val="22"/>
              </w:rPr>
            </w:pPr>
            <w:r w:rsidRPr="009620E0">
              <w:rPr>
                <w:sz w:val="22"/>
                <w:szCs w:val="22"/>
              </w:rPr>
              <w:t>- Viện Kiểm sát Nhân dân tối cao;</w:t>
            </w:r>
          </w:p>
          <w:p w14:paraId="66B52D65" w14:textId="77777777" w:rsidR="00DC7810" w:rsidRPr="009620E0" w:rsidRDefault="00DC7810" w:rsidP="00AD7963">
            <w:pPr>
              <w:ind w:left="-57"/>
              <w:rPr>
                <w:sz w:val="22"/>
                <w:szCs w:val="22"/>
              </w:rPr>
            </w:pPr>
            <w:r w:rsidRPr="009620E0">
              <w:rPr>
                <w:sz w:val="22"/>
                <w:szCs w:val="22"/>
              </w:rPr>
              <w:t>- Các đoàn thể Trung ương;</w:t>
            </w:r>
          </w:p>
          <w:p w14:paraId="4F9B6869" w14:textId="77777777" w:rsidR="00DC7810" w:rsidRPr="009620E0" w:rsidRDefault="00DC7810" w:rsidP="00AD7963">
            <w:pPr>
              <w:ind w:left="-57"/>
              <w:rPr>
                <w:sz w:val="22"/>
                <w:szCs w:val="22"/>
              </w:rPr>
            </w:pPr>
            <w:r w:rsidRPr="009620E0">
              <w:rPr>
                <w:sz w:val="22"/>
                <w:szCs w:val="22"/>
              </w:rPr>
              <w:t>- Các tỉnh, thành phố trực thuộc TW;</w:t>
            </w:r>
          </w:p>
          <w:p w14:paraId="1801737E" w14:textId="77777777" w:rsidR="00DC7810" w:rsidRPr="009620E0" w:rsidRDefault="00DC7810" w:rsidP="00AD7963">
            <w:pPr>
              <w:ind w:left="-57"/>
              <w:rPr>
                <w:sz w:val="22"/>
                <w:szCs w:val="22"/>
              </w:rPr>
            </w:pPr>
            <w:r w:rsidRPr="009620E0">
              <w:rPr>
                <w:sz w:val="22"/>
                <w:szCs w:val="22"/>
              </w:rPr>
              <w:t>- Phòng Thương mại và Công nghiệp VN;</w:t>
            </w:r>
          </w:p>
          <w:p w14:paraId="0AB8591B" w14:textId="77777777" w:rsidR="00DC7810" w:rsidRPr="009620E0" w:rsidRDefault="00DC7810" w:rsidP="00AD7963">
            <w:pPr>
              <w:ind w:left="-57"/>
              <w:rPr>
                <w:sz w:val="22"/>
                <w:szCs w:val="22"/>
              </w:rPr>
            </w:pPr>
            <w:r w:rsidRPr="009620E0">
              <w:rPr>
                <w:sz w:val="22"/>
                <w:szCs w:val="22"/>
              </w:rPr>
              <w:t>- Các đơn vị thuộc Bộ KHĐT;</w:t>
            </w:r>
          </w:p>
          <w:p w14:paraId="5D3F1A5A" w14:textId="77777777" w:rsidR="00DC7810" w:rsidRPr="009620E0" w:rsidRDefault="00DC7810" w:rsidP="00AD7963">
            <w:pPr>
              <w:ind w:left="-57"/>
              <w:rPr>
                <w:sz w:val="22"/>
                <w:szCs w:val="22"/>
              </w:rPr>
            </w:pPr>
            <w:r w:rsidRPr="009620E0">
              <w:rPr>
                <w:sz w:val="22"/>
                <w:szCs w:val="22"/>
              </w:rPr>
              <w:t>- Cơ quan Thông tấn, báo chí;</w:t>
            </w:r>
          </w:p>
          <w:p w14:paraId="58E2DBB7" w14:textId="77777777" w:rsidR="00DC7810" w:rsidRPr="009620E0" w:rsidRDefault="00DC7810" w:rsidP="00AD7963">
            <w:pPr>
              <w:ind w:left="-57"/>
              <w:rPr>
                <w:sz w:val="22"/>
                <w:szCs w:val="22"/>
              </w:rPr>
            </w:pPr>
            <w:r w:rsidRPr="009620E0">
              <w:rPr>
                <w:sz w:val="22"/>
                <w:szCs w:val="22"/>
              </w:rPr>
              <w:t>- Các đơn vị thuộc TCTK;</w:t>
            </w:r>
          </w:p>
          <w:p w14:paraId="1213E056" w14:textId="5589A2E7" w:rsidR="00DC7810" w:rsidRPr="009620E0" w:rsidRDefault="00DC7810" w:rsidP="00AD7963">
            <w:pPr>
              <w:ind w:left="-57"/>
              <w:rPr>
                <w:b/>
                <w:i/>
                <w:sz w:val="24"/>
              </w:rPr>
            </w:pPr>
            <w:r w:rsidRPr="009620E0">
              <w:rPr>
                <w:sz w:val="22"/>
                <w:szCs w:val="22"/>
              </w:rPr>
              <w:t>- Lưu: VT, TKTH</w:t>
            </w:r>
            <w:r w:rsidR="00B515F4" w:rsidRPr="009620E0">
              <w:rPr>
                <w:sz w:val="22"/>
                <w:szCs w:val="22"/>
              </w:rPr>
              <w:t>,</w:t>
            </w:r>
          </w:p>
        </w:tc>
        <w:tc>
          <w:tcPr>
            <w:tcW w:w="4513" w:type="dxa"/>
            <w:shd w:val="clear" w:color="auto" w:fill="auto"/>
          </w:tcPr>
          <w:p w14:paraId="1F920974" w14:textId="77777777" w:rsidR="00DC7810" w:rsidRPr="009620E0" w:rsidRDefault="00DC7810" w:rsidP="00AD7963">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9620E0">
              <w:rPr>
                <w:b/>
                <w:bCs/>
                <w:sz w:val="28"/>
                <w:szCs w:val="28"/>
                <w:lang w:val="en-US" w:eastAsia="en-US"/>
              </w:rPr>
              <w:t>TỔNG CỤC TRƯỞNG</w:t>
            </w:r>
          </w:p>
          <w:p w14:paraId="4081622F" w14:textId="77777777" w:rsidR="00DC7810" w:rsidRPr="009620E0" w:rsidRDefault="00DC7810" w:rsidP="00AD7963">
            <w:pPr>
              <w:ind w:firstLine="894"/>
              <w:jc w:val="center"/>
              <w:rPr>
                <w:b/>
                <w:bCs/>
              </w:rPr>
            </w:pPr>
          </w:p>
          <w:p w14:paraId="3EA08402" w14:textId="77777777" w:rsidR="00DC7810" w:rsidRPr="009620E0" w:rsidRDefault="00DC7810" w:rsidP="00AD7963">
            <w:pPr>
              <w:ind w:firstLine="894"/>
              <w:jc w:val="center"/>
              <w:rPr>
                <w:b/>
                <w:bCs/>
              </w:rPr>
            </w:pPr>
          </w:p>
          <w:p w14:paraId="2EF51FE3" w14:textId="77777777" w:rsidR="00DC7810" w:rsidRPr="009620E0" w:rsidRDefault="00DC7810" w:rsidP="00AD7963">
            <w:pPr>
              <w:ind w:firstLine="894"/>
              <w:jc w:val="center"/>
              <w:rPr>
                <w:b/>
                <w:bCs/>
              </w:rPr>
            </w:pPr>
          </w:p>
          <w:p w14:paraId="0CD5152B" w14:textId="77777777" w:rsidR="00DC7810" w:rsidRPr="009620E0" w:rsidRDefault="00DC7810" w:rsidP="00AD7963">
            <w:pPr>
              <w:ind w:firstLine="894"/>
              <w:jc w:val="center"/>
              <w:rPr>
                <w:b/>
                <w:bCs/>
              </w:rPr>
            </w:pPr>
          </w:p>
          <w:p w14:paraId="6599D3F5" w14:textId="77777777" w:rsidR="00DC7810" w:rsidRPr="009620E0" w:rsidRDefault="00DC7810" w:rsidP="00AD7963">
            <w:pPr>
              <w:ind w:firstLine="894"/>
              <w:jc w:val="center"/>
              <w:rPr>
                <w:b/>
                <w:bCs/>
              </w:rPr>
            </w:pPr>
          </w:p>
          <w:p w14:paraId="596546D4" w14:textId="77777777" w:rsidR="002D6A3D" w:rsidRPr="009620E0" w:rsidRDefault="002D6A3D" w:rsidP="00AD7963">
            <w:pPr>
              <w:ind w:firstLine="894"/>
              <w:jc w:val="center"/>
              <w:rPr>
                <w:b/>
                <w:bCs/>
              </w:rPr>
            </w:pPr>
          </w:p>
          <w:p w14:paraId="1D5B1147" w14:textId="77777777" w:rsidR="00DC7810" w:rsidRPr="009620E0" w:rsidRDefault="00DC7810" w:rsidP="00AD7963">
            <w:pPr>
              <w:ind w:firstLine="894"/>
              <w:jc w:val="center"/>
              <w:rPr>
                <w:b/>
                <w:bCs/>
              </w:rPr>
            </w:pPr>
          </w:p>
          <w:p w14:paraId="49B2979A" w14:textId="77777777" w:rsidR="00DC7810" w:rsidRPr="009620E0" w:rsidRDefault="00DC7810" w:rsidP="00956F29">
            <w:pPr>
              <w:ind w:firstLine="894"/>
              <w:jc w:val="center"/>
              <w:rPr>
                <w:b/>
                <w:i/>
                <w:sz w:val="24"/>
              </w:rPr>
            </w:pPr>
            <w:r w:rsidRPr="009620E0">
              <w:rPr>
                <w:b/>
                <w:bCs/>
              </w:rPr>
              <w:t xml:space="preserve">Nguyễn </w:t>
            </w:r>
            <w:r w:rsidR="00956F29" w:rsidRPr="009620E0">
              <w:rPr>
                <w:b/>
                <w:bCs/>
              </w:rPr>
              <w:t>Thị Hương</w:t>
            </w:r>
          </w:p>
        </w:tc>
      </w:tr>
    </w:tbl>
    <w:p w14:paraId="2A170FD8" w14:textId="77777777" w:rsidR="002646C7" w:rsidRPr="009620E0" w:rsidRDefault="002646C7" w:rsidP="009F2EE2">
      <w:pPr>
        <w:pStyle w:val="NormalWeb"/>
        <w:shd w:val="clear" w:color="auto" w:fill="FFFFFF"/>
        <w:tabs>
          <w:tab w:val="left" w:pos="6540"/>
        </w:tabs>
        <w:spacing w:before="40" w:beforeAutospacing="0" w:after="40" w:afterAutospacing="0" w:line="264" w:lineRule="auto"/>
        <w:rPr>
          <w:b/>
          <w:bCs/>
        </w:rPr>
      </w:pPr>
    </w:p>
    <w:sectPr w:rsidR="002646C7" w:rsidRPr="009620E0" w:rsidSect="00937357">
      <w:headerReference w:type="even" r:id="rId27"/>
      <w:headerReference w:type="default" r:id="rId28"/>
      <w:footerReference w:type="even" r:id="rId29"/>
      <w:footerReference w:type="default" r:id="rId30"/>
      <w:headerReference w:type="first" r:id="rId31"/>
      <w:footerReference w:type="first" r:id="rId32"/>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61B1E" w14:textId="77777777" w:rsidR="00F855C2" w:rsidRDefault="00F855C2" w:rsidP="001A07A9">
      <w:r>
        <w:separator/>
      </w:r>
    </w:p>
  </w:endnote>
  <w:endnote w:type="continuationSeparator" w:id="0">
    <w:p w14:paraId="1EE62A08" w14:textId="77777777" w:rsidR="00F855C2" w:rsidRDefault="00F855C2"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panose1 w:val="020B7200000000000000"/>
    <w:charset w:val="00"/>
    <w:family w:val="swiss"/>
    <w:pitch w:val="variable"/>
    <w:sig w:usb0="00000005"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Times New Roman Italic">
    <w:altName w:val="Snell Roundhand"/>
    <w:panose1 w:val="020205030504050903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52385" w14:textId="77777777" w:rsidR="00F855C2" w:rsidRDefault="00F85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C78E5" w14:textId="77777777" w:rsidR="00F855C2" w:rsidRDefault="00F85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F8D27" w14:textId="77777777" w:rsidR="00F855C2" w:rsidRDefault="00F85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59073" w14:textId="77777777" w:rsidR="00F855C2" w:rsidRDefault="00F855C2" w:rsidP="001A07A9">
      <w:r>
        <w:separator/>
      </w:r>
    </w:p>
  </w:footnote>
  <w:footnote w:type="continuationSeparator" w:id="0">
    <w:p w14:paraId="6941B1D4" w14:textId="77777777" w:rsidR="00F855C2" w:rsidRDefault="00F855C2" w:rsidP="001A07A9">
      <w:r>
        <w:continuationSeparator/>
      </w:r>
    </w:p>
  </w:footnote>
  <w:footnote w:id="1">
    <w:p w14:paraId="7E63C291" w14:textId="77777777" w:rsidR="00F855C2" w:rsidRPr="00956712" w:rsidRDefault="00F855C2" w:rsidP="00D80F40">
      <w:pPr>
        <w:pStyle w:val="FootnoteText"/>
        <w:spacing w:after="40"/>
        <w:ind w:left="142" w:hanging="142"/>
        <w:jc w:val="both"/>
        <w:rPr>
          <w:lang w:val="en-US"/>
        </w:rPr>
      </w:pPr>
      <w:r w:rsidRPr="00956712">
        <w:rPr>
          <w:rStyle w:val="FootnoteReference"/>
        </w:rPr>
        <w:footnoteRef/>
      </w:r>
      <w:r w:rsidRPr="00956712">
        <w:t xml:space="preserve"> </w:t>
      </w:r>
      <w:r w:rsidRPr="00956712">
        <w:rPr>
          <w:lang w:val="sv-SE"/>
        </w:rPr>
        <w:t>Theo số liệu của Bộ Nông nghiệp và Phát triển nông thôn, tính từ 16/01/2024 đến 15/02/2024.</w:t>
      </w:r>
    </w:p>
  </w:footnote>
  <w:footnote w:id="2">
    <w:p w14:paraId="542C24FE" w14:textId="77777777" w:rsidR="00F855C2" w:rsidRPr="00956712" w:rsidRDefault="00F855C2" w:rsidP="00D80F40">
      <w:pPr>
        <w:pStyle w:val="FootnoteText"/>
        <w:spacing w:after="40"/>
        <w:ind w:left="142" w:hanging="142"/>
        <w:jc w:val="both"/>
        <w:rPr>
          <w:lang w:val="en-US"/>
        </w:rPr>
      </w:pPr>
      <w:r w:rsidRPr="00956712">
        <w:rPr>
          <w:rStyle w:val="FootnoteReference"/>
        </w:rPr>
        <w:footnoteRef/>
      </w:r>
      <w:r w:rsidRPr="00956712">
        <w:t xml:space="preserve"> </w:t>
      </w:r>
      <w:hyperlink r:id="rId1" w:history="1">
        <w:r w:rsidRPr="00956712">
          <w:rPr>
            <w:rStyle w:val="Hyperlink"/>
            <w:color w:val="auto"/>
          </w:rPr>
          <w:t>https://agromonitor.vn/category/48/ca-tra</w:t>
        </w:r>
      </w:hyperlink>
      <w:r w:rsidRPr="00956712">
        <w:rPr>
          <w:lang w:val="en-US"/>
        </w:rPr>
        <w:t xml:space="preserve">: </w:t>
      </w:r>
      <w:r w:rsidRPr="00956712">
        <w:rPr>
          <w:lang w:val="de-DE"/>
        </w:rPr>
        <w:t>Tại đồng bằng sông Cửu Long giá cá tra nguyên liệu dao động từ 27.000-28.500 đồng/kg, tăng khoảng 200-1.000 đồng/kg so với tháng trước.</w:t>
      </w:r>
    </w:p>
  </w:footnote>
  <w:footnote w:id="3">
    <w:p w14:paraId="7A056120" w14:textId="34D868CE" w:rsidR="00F855C2" w:rsidRPr="00956712" w:rsidRDefault="00F855C2" w:rsidP="00865420">
      <w:pPr>
        <w:pStyle w:val="FootnoteText"/>
        <w:spacing w:after="40"/>
        <w:ind w:left="142" w:hanging="142"/>
        <w:jc w:val="both"/>
        <w:rPr>
          <w:lang w:val="en-US"/>
        </w:rPr>
      </w:pPr>
      <w:r w:rsidRPr="00956712">
        <w:rPr>
          <w:rStyle w:val="FootnoteReference"/>
        </w:rPr>
        <w:footnoteRef/>
      </w:r>
      <w:r w:rsidRPr="00956712">
        <w:t xml:space="preserve"> </w:t>
      </w:r>
      <w:r>
        <w:rPr>
          <w:lang w:val="en-US"/>
        </w:rPr>
        <w:t xml:space="preserve"> Cùng kỳ năm trước (Tháng 02/2023) không có ngày nghỉ Tết, do thời gian nghỉ Tết Quý Mão trọn trong tháng 01/2023 (từ ngày 20/01/2023 đến hết ngày 26/01/2023). </w:t>
      </w:r>
    </w:p>
  </w:footnote>
  <w:footnote w:id="4">
    <w:p w14:paraId="3B6BF2F3" w14:textId="77777777" w:rsidR="00F855C2" w:rsidRPr="00956712" w:rsidRDefault="00F855C2" w:rsidP="00865420">
      <w:pPr>
        <w:pStyle w:val="FootnoteText"/>
        <w:spacing w:after="40"/>
        <w:ind w:left="142" w:hanging="142"/>
        <w:jc w:val="both"/>
        <w:rPr>
          <w:lang w:val="en-US"/>
        </w:rPr>
      </w:pPr>
      <w:r w:rsidRPr="00956712">
        <w:rPr>
          <w:rStyle w:val="FootnoteReference"/>
        </w:rPr>
        <w:footnoteRef/>
      </w:r>
      <w:r w:rsidRPr="00956712">
        <w:t xml:space="preserve"> </w:t>
      </w:r>
      <w:r w:rsidRPr="00956712">
        <w:rPr>
          <w:spacing w:val="3"/>
          <w:shd w:val="clear" w:color="auto" w:fill="FFFFFF"/>
        </w:rPr>
        <w:t>Chỉ số IIP tháng 02/202</w:t>
      </w:r>
      <w:r w:rsidRPr="00956712">
        <w:rPr>
          <w:spacing w:val="3"/>
          <w:shd w:val="clear" w:color="auto" w:fill="FFFFFF"/>
          <w:lang w:val="en-US"/>
        </w:rPr>
        <w:t>4</w:t>
      </w:r>
      <w:r w:rsidRPr="00956712">
        <w:rPr>
          <w:spacing w:val="3"/>
          <w:shd w:val="clear" w:color="auto" w:fill="FFFFFF"/>
        </w:rPr>
        <w:t xml:space="preserve"> so với tháng trước của một số địa phương có quy mô công nghiệp </w:t>
      </w:r>
      <w:r w:rsidRPr="00956712">
        <w:rPr>
          <w:spacing w:val="3"/>
          <w:shd w:val="clear" w:color="auto" w:fill="FFFFFF"/>
          <w:lang w:val="en-US"/>
        </w:rPr>
        <w:t>lớn giảm mạnh</w:t>
      </w:r>
      <w:r w:rsidRPr="00956712">
        <w:rPr>
          <w:spacing w:val="3"/>
          <w:shd w:val="clear" w:color="auto" w:fill="FFFFFF"/>
        </w:rPr>
        <w:t xml:space="preserve">: Vĩnh Long </w:t>
      </w:r>
      <w:r w:rsidRPr="00956712">
        <w:rPr>
          <w:spacing w:val="3"/>
          <w:shd w:val="clear" w:color="auto" w:fill="FFFFFF"/>
          <w:lang w:val="en-US"/>
        </w:rPr>
        <w:t>giảm 27,2</w:t>
      </w:r>
      <w:r w:rsidRPr="00956712">
        <w:rPr>
          <w:spacing w:val="3"/>
          <w:shd w:val="clear" w:color="auto" w:fill="FFFFFF"/>
        </w:rPr>
        <w:t xml:space="preserve">%; Hải Dương </w:t>
      </w:r>
      <w:r w:rsidRPr="00956712">
        <w:rPr>
          <w:spacing w:val="3"/>
          <w:shd w:val="clear" w:color="auto" w:fill="FFFFFF"/>
          <w:lang w:val="en-US"/>
        </w:rPr>
        <w:t>giảm 25,5</w:t>
      </w:r>
      <w:r w:rsidRPr="00956712">
        <w:rPr>
          <w:spacing w:val="3"/>
          <w:shd w:val="clear" w:color="auto" w:fill="FFFFFF"/>
        </w:rPr>
        <w:t>%; T</w:t>
      </w:r>
      <w:r w:rsidRPr="00956712">
        <w:rPr>
          <w:spacing w:val="3"/>
          <w:shd w:val="clear" w:color="auto" w:fill="FFFFFF"/>
          <w:lang w:val="en-US"/>
        </w:rPr>
        <w:t>hành phố</w:t>
      </w:r>
      <w:r w:rsidRPr="00956712">
        <w:rPr>
          <w:spacing w:val="3"/>
          <w:shd w:val="clear" w:color="auto" w:fill="FFFFFF"/>
        </w:rPr>
        <w:t xml:space="preserve"> Hồ Chí Minh </w:t>
      </w:r>
      <w:r w:rsidRPr="00956712">
        <w:rPr>
          <w:spacing w:val="3"/>
          <w:shd w:val="clear" w:color="auto" w:fill="FFFFFF"/>
          <w:lang w:val="en-US"/>
        </w:rPr>
        <w:t>giảm 24,3</w:t>
      </w:r>
      <w:r w:rsidRPr="00956712">
        <w:rPr>
          <w:spacing w:val="3"/>
          <w:shd w:val="clear" w:color="auto" w:fill="FFFFFF"/>
        </w:rPr>
        <w:t xml:space="preserve">%; Bình Dương </w:t>
      </w:r>
      <w:r w:rsidRPr="00956712">
        <w:rPr>
          <w:spacing w:val="3"/>
          <w:shd w:val="clear" w:color="auto" w:fill="FFFFFF"/>
          <w:lang w:val="en-US"/>
        </w:rPr>
        <w:t>giảm 24,1</w:t>
      </w:r>
      <w:r w:rsidRPr="00956712">
        <w:rPr>
          <w:spacing w:val="3"/>
          <w:shd w:val="clear" w:color="auto" w:fill="FFFFFF"/>
        </w:rPr>
        <w:t xml:space="preserve">%; Hà Nội </w:t>
      </w:r>
      <w:r w:rsidRPr="00956712">
        <w:rPr>
          <w:spacing w:val="3"/>
          <w:shd w:val="clear" w:color="auto" w:fill="FFFFFF"/>
          <w:lang w:val="en-US"/>
        </w:rPr>
        <w:t>giảm 20,3</w:t>
      </w:r>
      <w:r w:rsidRPr="00956712">
        <w:rPr>
          <w:spacing w:val="3"/>
          <w:shd w:val="clear" w:color="auto" w:fill="FFFFFF"/>
        </w:rPr>
        <w:t xml:space="preserve">%; Đồng Nai </w:t>
      </w:r>
      <w:r w:rsidRPr="00956712">
        <w:rPr>
          <w:spacing w:val="3"/>
          <w:shd w:val="clear" w:color="auto" w:fill="FFFFFF"/>
          <w:lang w:val="en-US"/>
        </w:rPr>
        <w:t>giảm 19,6</w:t>
      </w:r>
      <w:r w:rsidRPr="00956712">
        <w:rPr>
          <w:spacing w:val="3"/>
          <w:shd w:val="clear" w:color="auto" w:fill="FFFFFF"/>
        </w:rPr>
        <w:t xml:space="preserve">%; Trà Vinh </w:t>
      </w:r>
      <w:r w:rsidRPr="00956712">
        <w:rPr>
          <w:spacing w:val="3"/>
          <w:shd w:val="clear" w:color="auto" w:fill="FFFFFF"/>
          <w:lang w:val="en-US"/>
        </w:rPr>
        <w:t>giảm 17,5</w:t>
      </w:r>
      <w:r w:rsidRPr="00956712">
        <w:rPr>
          <w:spacing w:val="3"/>
          <w:shd w:val="clear" w:color="auto" w:fill="FFFFFF"/>
        </w:rPr>
        <w:t xml:space="preserve">%; Long An </w:t>
      </w:r>
      <w:r w:rsidRPr="00956712">
        <w:rPr>
          <w:spacing w:val="3"/>
          <w:shd w:val="clear" w:color="auto" w:fill="FFFFFF"/>
          <w:lang w:val="en-US"/>
        </w:rPr>
        <w:t>giảm 13,7</w:t>
      </w:r>
      <w:r w:rsidRPr="00956712">
        <w:rPr>
          <w:spacing w:val="3"/>
          <w:shd w:val="clear" w:color="auto" w:fill="FFFFFF"/>
        </w:rPr>
        <w:t xml:space="preserve">%; Bà Rịa - Vũng Tàu </w:t>
      </w:r>
      <w:r w:rsidRPr="00956712">
        <w:rPr>
          <w:spacing w:val="3"/>
          <w:shd w:val="clear" w:color="auto" w:fill="FFFFFF"/>
          <w:lang w:val="en-US"/>
        </w:rPr>
        <w:t>giảm 11,7</w:t>
      </w:r>
      <w:r w:rsidRPr="00956712">
        <w:rPr>
          <w:spacing w:val="3"/>
          <w:shd w:val="clear" w:color="auto" w:fill="FFFFFF"/>
        </w:rPr>
        <w:t>%.</w:t>
      </w:r>
    </w:p>
  </w:footnote>
  <w:footnote w:id="5">
    <w:p w14:paraId="37542487" w14:textId="26ACAB5B" w:rsidR="00F855C2" w:rsidRPr="00956712" w:rsidRDefault="00F855C2" w:rsidP="00865420">
      <w:pPr>
        <w:ind w:left="142" w:hanging="142"/>
        <w:jc w:val="both"/>
        <w:rPr>
          <w:sz w:val="20"/>
          <w:szCs w:val="20"/>
        </w:rPr>
      </w:pPr>
      <w:r w:rsidRPr="00956712">
        <w:rPr>
          <w:rStyle w:val="FootnoteReference"/>
          <w:sz w:val="20"/>
          <w:szCs w:val="20"/>
        </w:rPr>
        <w:footnoteRef/>
      </w:r>
      <w:r w:rsidRPr="00956712">
        <w:rPr>
          <w:sz w:val="20"/>
          <w:szCs w:val="20"/>
        </w:rPr>
        <w:t xml:space="preserve"> </w:t>
      </w:r>
      <w:r w:rsidRPr="00956712">
        <w:rPr>
          <w:spacing w:val="3"/>
          <w:sz w:val="20"/>
          <w:szCs w:val="20"/>
          <w:shd w:val="clear" w:color="auto" w:fill="FFFFFF"/>
        </w:rPr>
        <w:t xml:space="preserve">Địa phương có chỉ số sản xuất của ngành công nghiệp chế biến, chế tạo </w:t>
      </w:r>
      <w:r>
        <w:rPr>
          <w:spacing w:val="3"/>
          <w:sz w:val="20"/>
          <w:szCs w:val="20"/>
          <w:shd w:val="clear" w:color="auto" w:fill="FFFFFF"/>
        </w:rPr>
        <w:t>2</w:t>
      </w:r>
      <w:r w:rsidRPr="00956712">
        <w:rPr>
          <w:spacing w:val="3"/>
          <w:sz w:val="20"/>
          <w:szCs w:val="20"/>
          <w:shd w:val="clear" w:color="auto" w:fill="FFFFFF"/>
        </w:rPr>
        <w:t xml:space="preserve"> tháng đầu năm 2024 tăng so với cùng kỳ năm trước: Bắc Giang tăng 29%; Phú Thọ tăng 27,6%; Hà Nam tăng 22,2%; Thanh Hóa và Quảng Ngãi cùng tăng 22,1%; Bình Phước tăng 20%; Kiên Giang tăng 19,7%; Tây Ninh tăng 16,9%. Các địa phương có chỉ số sản xuất của ngành sản xuất và phân phối điện tăng cao: Khánh Hòa tăng 318,8%; Trà Vinh tăng 102,3%; Thanh Hóa tăng 67,5%; Bắc Giang tăng 17,6%; Phú Thọ tăng 15,5%.</w:t>
      </w:r>
    </w:p>
  </w:footnote>
  <w:footnote w:id="6">
    <w:p w14:paraId="320A1720" w14:textId="0BCF02F6" w:rsidR="00F855C2" w:rsidRPr="00956712" w:rsidRDefault="00F855C2" w:rsidP="00865420">
      <w:pPr>
        <w:ind w:left="142" w:hanging="142"/>
        <w:jc w:val="both"/>
      </w:pPr>
      <w:r w:rsidRPr="00956712">
        <w:rPr>
          <w:rStyle w:val="FootnoteReference"/>
          <w:sz w:val="20"/>
          <w:szCs w:val="20"/>
        </w:rPr>
        <w:footnoteRef/>
      </w:r>
      <w:r w:rsidRPr="00956712">
        <w:rPr>
          <w:sz w:val="20"/>
          <w:szCs w:val="20"/>
        </w:rPr>
        <w:t xml:space="preserve"> Các địa phương có chỉ số sản xuất của ngành công nghiệp chế biến, chế tạo </w:t>
      </w:r>
      <w:r>
        <w:rPr>
          <w:sz w:val="20"/>
          <w:szCs w:val="20"/>
        </w:rPr>
        <w:t>2</w:t>
      </w:r>
      <w:r w:rsidRPr="00956712">
        <w:rPr>
          <w:sz w:val="20"/>
          <w:szCs w:val="20"/>
        </w:rPr>
        <w:t xml:space="preserve"> tháng đầu năm 2024 tăng thấp hoặc giảm so với cùng kỳ năm trước: Lào Cai tăng 1,6%; Bắc Ninh giảm 15,5%; Cà Mau giảm 10,1%; Quảng Trị giảm 8,5%. Các địa phương có chỉ số của ngành sản xuất và phân phối điện </w:t>
      </w:r>
      <w:r>
        <w:rPr>
          <w:sz w:val="20"/>
          <w:szCs w:val="20"/>
        </w:rPr>
        <w:t>2</w:t>
      </w:r>
      <w:r w:rsidRPr="00956712">
        <w:rPr>
          <w:sz w:val="20"/>
          <w:szCs w:val="20"/>
        </w:rPr>
        <w:t xml:space="preserve"> tháng đầu năm 2024 giảm so với cùng kỳ năm trước: Sơn La giảm 41,5%; Hòa Bình giảm 19%; Cao Bằng giảm 18,2%; Thừa Thiên – Huế giảm 16,4%. Địa phương có chỉ số sản xuất của ngành khai khoáng </w:t>
      </w:r>
      <w:r>
        <w:rPr>
          <w:sz w:val="20"/>
          <w:szCs w:val="20"/>
        </w:rPr>
        <w:t>2</w:t>
      </w:r>
      <w:r w:rsidRPr="00956712">
        <w:rPr>
          <w:sz w:val="20"/>
          <w:szCs w:val="20"/>
        </w:rPr>
        <w:t xml:space="preserve"> tháng đầu năm 2024 so với cùng kỳ năm trước giảm: Hà Giang giảm 75,9%; Bà Rịa - Vũng Tàu giảm 11%.</w:t>
      </w:r>
    </w:p>
  </w:footnote>
  <w:footnote w:id="7">
    <w:p w14:paraId="5FE94768" w14:textId="77777777" w:rsidR="00F855C2" w:rsidRPr="009F297E" w:rsidRDefault="00F855C2" w:rsidP="0040059E">
      <w:pPr>
        <w:pStyle w:val="FootnoteText"/>
        <w:ind w:left="142" w:hanging="142"/>
        <w:jc w:val="both"/>
        <w:rPr>
          <w:spacing w:val="-4"/>
          <w:lang w:val="vi-VN"/>
        </w:rPr>
      </w:pPr>
      <w:r w:rsidRPr="00F531EB">
        <w:rPr>
          <w:rStyle w:val="FootnoteReference"/>
        </w:rPr>
        <w:footnoteRef/>
      </w:r>
      <w:r w:rsidRPr="009F297E">
        <w:rPr>
          <w:lang w:val="vi-VN"/>
        </w:rPr>
        <w:t xml:space="preserve"> </w:t>
      </w:r>
      <w:r w:rsidRPr="002A724C">
        <w:rPr>
          <w:lang w:val="vi-VN"/>
        </w:rPr>
        <w:t>Nguồn: Hệ thống thông tin đăng ký doanh nghiệp quốc gia, Cục Quản lý đăng ký kinh doanh, Bộ Kế hoạch và Đầu tư, ngày</w:t>
      </w:r>
      <w:r w:rsidRPr="009F297E">
        <w:rPr>
          <w:lang w:val="vi-VN"/>
        </w:rPr>
        <w:t xml:space="preserve"> 2</w:t>
      </w:r>
      <w:r>
        <w:rPr>
          <w:lang w:val="en-US"/>
        </w:rPr>
        <w:t>4</w:t>
      </w:r>
      <w:r w:rsidRPr="009F297E">
        <w:rPr>
          <w:lang w:val="vi-VN"/>
        </w:rPr>
        <w:t>/</w:t>
      </w:r>
      <w:r>
        <w:rPr>
          <w:lang w:val="en-US"/>
        </w:rPr>
        <w:t>02</w:t>
      </w:r>
      <w:r w:rsidRPr="009F297E">
        <w:rPr>
          <w:lang w:val="vi-VN"/>
        </w:rPr>
        <w:t>/202</w:t>
      </w:r>
      <w:r>
        <w:rPr>
          <w:lang w:val="en-GB"/>
        </w:rPr>
        <w:t>4</w:t>
      </w:r>
      <w:r w:rsidRPr="009F297E">
        <w:rPr>
          <w:lang w:val="vi-VN"/>
        </w:rPr>
        <w:t>.</w:t>
      </w:r>
    </w:p>
  </w:footnote>
  <w:footnote w:id="8">
    <w:p w14:paraId="595C11FA" w14:textId="77777777" w:rsidR="00F855C2" w:rsidRPr="00CA5470" w:rsidRDefault="00F855C2" w:rsidP="001B46AC">
      <w:pPr>
        <w:pStyle w:val="FootnoteText"/>
      </w:pPr>
      <w:r w:rsidRPr="00CA5470">
        <w:rPr>
          <w:rStyle w:val="FootnoteReference"/>
        </w:rPr>
        <w:footnoteRef/>
      </w:r>
      <w:r>
        <w:rPr>
          <w:lang w:val="en-GB"/>
        </w:rPr>
        <w:t xml:space="preserve"> </w:t>
      </w:r>
      <w:r w:rsidRPr="00CA5470">
        <w:t xml:space="preserve">Theo báo cáo của Cục Đầu tư nước ngoài, Bộ Kế </w:t>
      </w:r>
      <w:r>
        <w:t>hoạch và Đầu tư, nhận ngày 22/</w:t>
      </w:r>
      <w:r>
        <w:rPr>
          <w:lang w:val="en-US"/>
        </w:rPr>
        <w:t>02</w:t>
      </w:r>
      <w:r w:rsidRPr="00CA5470">
        <w:t>/202</w:t>
      </w:r>
      <w:r>
        <w:t>4</w:t>
      </w:r>
      <w:r w:rsidRPr="00CA5470">
        <w:t>.</w:t>
      </w:r>
    </w:p>
  </w:footnote>
  <w:footnote w:id="9">
    <w:p w14:paraId="38575E96" w14:textId="114E5239" w:rsidR="00F855C2" w:rsidRPr="007B7B2E" w:rsidRDefault="00F855C2" w:rsidP="00066D3C">
      <w:pPr>
        <w:ind w:left="142" w:hanging="142"/>
        <w:jc w:val="both"/>
        <w:rPr>
          <w:sz w:val="20"/>
          <w:szCs w:val="20"/>
          <w:lang w:val="nl-NL"/>
        </w:rPr>
      </w:pPr>
      <w:r w:rsidRPr="00371F5F">
        <w:rPr>
          <w:rStyle w:val="FootnoteReference"/>
          <w:sz w:val="20"/>
          <w:szCs w:val="20"/>
        </w:rPr>
        <w:footnoteRef/>
      </w:r>
      <w:r w:rsidRPr="00371F5F">
        <w:rPr>
          <w:sz w:val="20"/>
          <w:szCs w:val="20"/>
        </w:rPr>
        <w:t xml:space="preserve"> </w:t>
      </w:r>
      <w:r w:rsidRPr="003410A6">
        <w:rPr>
          <w:sz w:val="20"/>
          <w:szCs w:val="20"/>
          <w:lang w:val="nl-NL"/>
        </w:rPr>
        <w:t>Theo Báo cáo tình hình cân đối Ngân sách Nhà nước đến ngày 28/</w:t>
      </w:r>
      <w:r>
        <w:rPr>
          <w:sz w:val="20"/>
          <w:szCs w:val="20"/>
          <w:lang w:val="nl-NL"/>
        </w:rPr>
        <w:t>02</w:t>
      </w:r>
      <w:r w:rsidRPr="003410A6">
        <w:rPr>
          <w:sz w:val="20"/>
          <w:szCs w:val="20"/>
          <w:lang w:val="nl-NL"/>
        </w:rPr>
        <w:t>/202</w:t>
      </w:r>
      <w:r>
        <w:rPr>
          <w:sz w:val="20"/>
          <w:szCs w:val="20"/>
          <w:lang w:val="nl-NL"/>
        </w:rPr>
        <w:t>4</w:t>
      </w:r>
      <w:r w:rsidRPr="003410A6">
        <w:rPr>
          <w:sz w:val="20"/>
          <w:szCs w:val="20"/>
          <w:lang w:val="nl-NL"/>
        </w:rPr>
        <w:t xml:space="preserve"> của Bộ Tài chính.</w:t>
      </w:r>
    </w:p>
    <w:p w14:paraId="0AD466EE" w14:textId="77777777" w:rsidR="00F855C2" w:rsidRPr="007B7B2E" w:rsidRDefault="00F855C2" w:rsidP="00066D3C">
      <w:pPr>
        <w:pStyle w:val="FootnoteText"/>
        <w:ind w:left="142"/>
        <w:jc w:val="both"/>
        <w:rPr>
          <w:lang w:val="it-IT"/>
        </w:rPr>
      </w:pPr>
    </w:p>
  </w:footnote>
  <w:footnote w:id="10">
    <w:p w14:paraId="37F9C6C3" w14:textId="77777777" w:rsidR="00F855C2" w:rsidRPr="00C00A2E" w:rsidRDefault="00F855C2" w:rsidP="00AE4B92">
      <w:pPr>
        <w:pStyle w:val="FootnoteText"/>
        <w:spacing w:after="6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1">
    <w:p w14:paraId="044AF54B" w14:textId="517D514F" w:rsidR="00F855C2" w:rsidRPr="009F297E" w:rsidRDefault="00F855C2" w:rsidP="00AE4B92">
      <w:pPr>
        <w:spacing w:after="6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023953">
        <w:rPr>
          <w:spacing w:val="-2"/>
          <w:sz w:val="20"/>
          <w:szCs w:val="20"/>
        </w:rPr>
        <w:t>Ước tính tổng trị giá xuất khẩu, nhập khẩu tháng 0</w:t>
      </w:r>
      <w:r>
        <w:rPr>
          <w:spacing w:val="-2"/>
          <w:sz w:val="20"/>
          <w:szCs w:val="20"/>
        </w:rPr>
        <w:t>2</w:t>
      </w:r>
      <w:r w:rsidRPr="00023953">
        <w:rPr>
          <w:spacing w:val="-2"/>
          <w:sz w:val="20"/>
          <w:szCs w:val="20"/>
        </w:rPr>
        <w:t>/2024 do Tổng cục Hải quan cung cấp ngày 2</w:t>
      </w:r>
      <w:r>
        <w:rPr>
          <w:spacing w:val="-2"/>
          <w:sz w:val="20"/>
          <w:szCs w:val="20"/>
        </w:rPr>
        <w:t>8</w:t>
      </w:r>
      <w:r w:rsidRPr="00023953">
        <w:rPr>
          <w:spacing w:val="-2"/>
          <w:sz w:val="20"/>
          <w:szCs w:val="20"/>
        </w:rPr>
        <w:t>/0</w:t>
      </w:r>
      <w:r>
        <w:rPr>
          <w:spacing w:val="-2"/>
          <w:sz w:val="20"/>
          <w:szCs w:val="20"/>
        </w:rPr>
        <w:t>2</w:t>
      </w:r>
      <w:r w:rsidRPr="00023953">
        <w:rPr>
          <w:spacing w:val="-2"/>
          <w:sz w:val="20"/>
          <w:szCs w:val="20"/>
        </w:rPr>
        <w:t>/2024. Tổng cục Thống kê ước tính trị giá xuất, nhập khẩu một số mặt hàng chủ yếu tháng 0</w:t>
      </w:r>
      <w:r>
        <w:rPr>
          <w:spacing w:val="-2"/>
          <w:sz w:val="20"/>
          <w:szCs w:val="20"/>
        </w:rPr>
        <w:t>2</w:t>
      </w:r>
      <w:r w:rsidRPr="00023953">
        <w:rPr>
          <w:spacing w:val="-2"/>
          <w:sz w:val="20"/>
          <w:szCs w:val="20"/>
        </w:rPr>
        <w:t>/2024 dựa trên số liệu sơ bộ về trị giá xuất, nhập khẩu một số mặt hàng chủ yếu đến hết ngày 25/0</w:t>
      </w:r>
      <w:r>
        <w:rPr>
          <w:spacing w:val="-2"/>
          <w:sz w:val="20"/>
          <w:szCs w:val="20"/>
        </w:rPr>
        <w:t>2</w:t>
      </w:r>
      <w:r w:rsidRPr="00023953">
        <w:rPr>
          <w:spacing w:val="-2"/>
          <w:sz w:val="20"/>
          <w:szCs w:val="20"/>
        </w:rPr>
        <w:t>/2024 do Tổng cục Hải quan cung cấp</w:t>
      </w:r>
      <w:r>
        <w:rPr>
          <w:spacing w:val="-2"/>
          <w:sz w:val="20"/>
          <w:szCs w:val="20"/>
        </w:rPr>
        <w:t>.</w:t>
      </w:r>
    </w:p>
  </w:footnote>
  <w:footnote w:id="12">
    <w:p w14:paraId="4AB0F88A" w14:textId="77777777" w:rsidR="00F855C2" w:rsidRPr="00AD157D" w:rsidRDefault="00F855C2" w:rsidP="00AE4B92">
      <w:pPr>
        <w:pStyle w:val="FootnoteText"/>
        <w:ind w:left="198" w:hanging="198"/>
        <w:jc w:val="both"/>
        <w:rPr>
          <w:lang w:val="en-US"/>
        </w:rPr>
      </w:pPr>
      <w:r>
        <w:rPr>
          <w:rStyle w:val="FootnoteReference"/>
        </w:rPr>
        <w:footnoteRef/>
      </w:r>
      <w:r>
        <w:t xml:space="preserve"> D</w:t>
      </w:r>
      <w:r w:rsidRPr="00AD157D">
        <w:rPr>
          <w:spacing w:val="-2"/>
        </w:rPr>
        <w:t>o Tết Nguyên Đán năm nay nằm trọn trong tháng Hai</w:t>
      </w:r>
      <w:r>
        <w:rPr>
          <w:spacing w:val="-2"/>
        </w:rPr>
        <w:t xml:space="preserve"> nên</w:t>
      </w:r>
      <w:r w:rsidRPr="00AD157D">
        <w:rPr>
          <w:spacing w:val="-2"/>
        </w:rPr>
        <w:t xml:space="preserve"> </w:t>
      </w:r>
      <w:r>
        <w:rPr>
          <w:spacing w:val="-2"/>
        </w:rPr>
        <w:t>s</w:t>
      </w:r>
      <w:r w:rsidRPr="00AD157D">
        <w:rPr>
          <w:spacing w:val="-2"/>
        </w:rPr>
        <w:t>ố ngày làm việc của tháng Hai năm nay ít hơn tháng Hai năm</w:t>
      </w:r>
      <w:r>
        <w:rPr>
          <w:spacing w:val="-2"/>
        </w:rPr>
        <w:t xml:space="preserve"> trước</w:t>
      </w:r>
      <w:r>
        <w:rPr>
          <w:spacing w:val="-2"/>
          <w:lang w:val="en-US"/>
        </w:rPr>
        <w:t xml:space="preserve"> 05 ngày</w:t>
      </w:r>
      <w:r w:rsidRPr="00AD157D">
        <w:rPr>
          <w:spacing w:val="-2"/>
        </w:rPr>
        <w:t>.</w:t>
      </w:r>
    </w:p>
  </w:footnote>
  <w:footnote w:id="13">
    <w:p w14:paraId="023BAC1D" w14:textId="77777777" w:rsidR="00F855C2" w:rsidRPr="00023953" w:rsidRDefault="00F855C2" w:rsidP="00AE4B92">
      <w:pPr>
        <w:pStyle w:val="FootnoteText"/>
        <w:ind w:left="198" w:hanging="198"/>
        <w:jc w:val="both"/>
        <w:rPr>
          <w:lang w:val="en-US"/>
        </w:rPr>
      </w:pPr>
      <w:r>
        <w:rPr>
          <w:rStyle w:val="FootnoteReference"/>
        </w:rPr>
        <w:footnoteRef/>
      </w:r>
      <w:r>
        <w:t xml:space="preserve"> </w:t>
      </w:r>
      <w:r w:rsidRPr="00023953">
        <w:t xml:space="preserve">Tổng kim ngạch xuất, nhập khẩu hàng hóa </w:t>
      </w:r>
      <w:r>
        <w:rPr>
          <w:lang w:val="en-US"/>
        </w:rPr>
        <w:t xml:space="preserve">2 </w:t>
      </w:r>
      <w:r w:rsidRPr="00023953">
        <w:t xml:space="preserve">tháng </w:t>
      </w:r>
      <w:r>
        <w:rPr>
          <w:lang w:val="en-US"/>
        </w:rPr>
        <w:t xml:space="preserve">đầu năm </w:t>
      </w:r>
      <w:r w:rsidRPr="00023953">
        <w:t xml:space="preserve">2023 đạt </w:t>
      </w:r>
      <w:r>
        <w:rPr>
          <w:lang w:val="en-US"/>
        </w:rPr>
        <w:t>9</w:t>
      </w:r>
      <w:r w:rsidRPr="00023953">
        <w:t>6,</w:t>
      </w:r>
      <w:r>
        <w:rPr>
          <w:lang w:val="en-US"/>
        </w:rPr>
        <w:t>1</w:t>
      </w:r>
      <w:r w:rsidRPr="00023953">
        <w:t xml:space="preserve"> tỷ USD, giảm </w:t>
      </w:r>
      <w:r>
        <w:rPr>
          <w:lang w:val="en-US"/>
        </w:rPr>
        <w:t>13,3</w:t>
      </w:r>
      <w:r w:rsidRPr="00023953">
        <w:t xml:space="preserve">% so với cùng kỳ năm trước, trong đó xuất khẩu đạt </w:t>
      </w:r>
      <w:r>
        <w:rPr>
          <w:lang w:val="en-US"/>
        </w:rPr>
        <w:t>49</w:t>
      </w:r>
      <w:r w:rsidRPr="00023953">
        <w:t>,</w:t>
      </w:r>
      <w:r>
        <w:rPr>
          <w:lang w:val="en-US"/>
        </w:rPr>
        <w:t>8</w:t>
      </w:r>
      <w:r w:rsidRPr="00023953">
        <w:t xml:space="preserve"> tỷ USD, giảm </w:t>
      </w:r>
      <w:r>
        <w:rPr>
          <w:lang w:val="en-US"/>
        </w:rPr>
        <w:t>9</w:t>
      </w:r>
      <w:r w:rsidRPr="00023953">
        <w:t>,</w:t>
      </w:r>
      <w:r>
        <w:rPr>
          <w:lang w:val="en-US"/>
        </w:rPr>
        <w:t>9</w:t>
      </w:r>
      <w:r w:rsidRPr="00023953">
        <w:t xml:space="preserve">%; nhập khẩu đạt </w:t>
      </w:r>
      <w:r>
        <w:rPr>
          <w:lang w:val="en-US"/>
        </w:rPr>
        <w:t>46,3</w:t>
      </w:r>
      <w:r w:rsidRPr="00023953">
        <w:t xml:space="preserve"> tỷ USD, giảm </w:t>
      </w:r>
      <w:r>
        <w:rPr>
          <w:lang w:val="en-US"/>
        </w:rPr>
        <w:t>16</w:t>
      </w:r>
      <w:r w:rsidRPr="00023953">
        <w:t>,</w:t>
      </w:r>
      <w:r>
        <w:rPr>
          <w:lang w:val="en-US"/>
        </w:rPr>
        <w:t>7</w:t>
      </w:r>
      <w:r w:rsidRPr="00023953">
        <w:t>%.</w:t>
      </w:r>
    </w:p>
  </w:footnote>
  <w:footnote w:id="14">
    <w:p w14:paraId="4646902E" w14:textId="77777777" w:rsidR="00F855C2" w:rsidRPr="00AD0AA6" w:rsidRDefault="00F855C2" w:rsidP="00AE4B92">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Ước tính tháng </w:t>
      </w:r>
      <w:r>
        <w:rPr>
          <w:lang w:val="en-US"/>
        </w:rPr>
        <w:t>Một</w:t>
      </w:r>
      <w:r w:rsidRPr="00390618">
        <w:rPr>
          <w:lang w:val="vi-VN"/>
        </w:rPr>
        <w:t xml:space="preserve"> </w:t>
      </w:r>
      <w:r w:rsidRPr="00390618">
        <w:rPr>
          <w:lang w:val="en-US"/>
        </w:rPr>
        <w:t>xuất</w:t>
      </w:r>
      <w:r w:rsidRPr="00390618">
        <w:rPr>
          <w:lang w:val="vi-VN"/>
        </w:rPr>
        <w:t xml:space="preserve"> siêu </w:t>
      </w:r>
      <w:r>
        <w:rPr>
          <w:lang w:val="vi-VN"/>
        </w:rPr>
        <w:t>2,92</w:t>
      </w:r>
      <w:r w:rsidRPr="00390618">
        <w:rPr>
          <w:lang w:val="vi-VN"/>
        </w:rPr>
        <w:t xml:space="preserve"> </w:t>
      </w:r>
      <w:r w:rsidRPr="00390618">
        <w:rPr>
          <w:lang w:val="en-US"/>
        </w:rPr>
        <w:t>tỷ</w:t>
      </w:r>
      <w:r w:rsidRPr="00390618">
        <w:rPr>
          <w:lang w:val="vi-VN"/>
        </w:rPr>
        <w:t xml:space="preserve"> USD.</w:t>
      </w:r>
    </w:p>
  </w:footnote>
  <w:footnote w:id="15">
    <w:p w14:paraId="4F80FACF" w14:textId="77777777" w:rsidR="00F855C2" w:rsidRPr="009A6B7F" w:rsidRDefault="00F855C2" w:rsidP="00A12C9A">
      <w:pPr>
        <w:pStyle w:val="FootnoteText"/>
        <w:spacing w:before="40" w:after="40"/>
        <w:ind w:left="142" w:hanging="142"/>
        <w:jc w:val="both"/>
        <w:rPr>
          <w:lang w:val="en-US"/>
        </w:rPr>
      </w:pPr>
      <w:r w:rsidRPr="009A6B7F">
        <w:rPr>
          <w:rStyle w:val="FootnoteReference"/>
        </w:rPr>
        <w:footnoteRef/>
      </w:r>
      <w:r w:rsidRPr="009A6B7F">
        <w:t xml:space="preserve"> </w:t>
      </w:r>
      <w:r>
        <w:rPr>
          <w:lang w:val="en-US"/>
        </w:rPr>
        <w:t>G</w:t>
      </w:r>
      <w:r w:rsidRPr="00A84F01">
        <w:rPr>
          <w:lang w:val="en-US"/>
        </w:rPr>
        <w:t>iá vận tải hành khách bằng đường sắt tăng 151,75%; giá vận tải hành khách bằng đường hàng không tăng 39,07%; vận tải hành khách kết hợp tăng 7,29%; vận tải hành khách bằng đường bộ tăng 5,7%.</w:t>
      </w:r>
    </w:p>
  </w:footnote>
  <w:footnote w:id="16">
    <w:p w14:paraId="2222A62D" w14:textId="77777777" w:rsidR="00F855C2" w:rsidRPr="002C19D3" w:rsidRDefault="00F855C2" w:rsidP="00A12C9A">
      <w:pPr>
        <w:pStyle w:val="FootnoteText"/>
        <w:spacing w:before="40" w:after="40"/>
        <w:ind w:left="198" w:hanging="198"/>
        <w:jc w:val="both"/>
        <w:rPr>
          <w:lang w:val="en-US"/>
        </w:rPr>
      </w:pPr>
      <w:r w:rsidRPr="009044DD">
        <w:rPr>
          <w:rStyle w:val="FootnoteReference"/>
        </w:rPr>
        <w:footnoteRef/>
      </w:r>
      <w:r>
        <w:rPr>
          <w:lang w:val="en-US"/>
        </w:rPr>
        <w:t xml:space="preserve"> </w:t>
      </w:r>
      <w:r w:rsidRPr="009A6B7F">
        <w:rPr>
          <w:lang w:val="en-US"/>
        </w:rPr>
        <w:t>Giá gạo trong nướ</w:t>
      </w:r>
      <w:r>
        <w:rPr>
          <w:lang w:val="en-US"/>
        </w:rPr>
        <w:t xml:space="preserve">c tăng theo </w:t>
      </w:r>
      <w:r w:rsidRPr="009A6B7F">
        <w:rPr>
          <w:lang w:val="en-US"/>
        </w:rPr>
        <w:t>giá gạo xuất khẩu</w:t>
      </w:r>
      <w:r>
        <w:rPr>
          <w:lang w:val="en-US"/>
        </w:rPr>
        <w:t xml:space="preserve"> </w:t>
      </w:r>
      <w:r w:rsidRPr="00150620">
        <w:rPr>
          <w:lang w:val="en-US"/>
        </w:rPr>
        <w:t xml:space="preserve">và </w:t>
      </w:r>
      <w:r w:rsidRPr="00150620">
        <w:rPr>
          <w:color w:val="000000" w:themeColor="text1"/>
        </w:rPr>
        <w:t>trong dịp Tế</w:t>
      </w:r>
      <w:r>
        <w:rPr>
          <w:color w:val="000000" w:themeColor="text1"/>
        </w:rPr>
        <w:t>t Nguyên đán Giáp Thìn 2024</w:t>
      </w:r>
      <w:r w:rsidRPr="00150620">
        <w:rPr>
          <w:color w:val="000000" w:themeColor="text1"/>
          <w:shd w:val="clear" w:color="auto" w:fill="FFFFFF"/>
        </w:rPr>
        <w:t xml:space="preserve"> </w:t>
      </w:r>
      <w:r w:rsidRPr="00150620">
        <w:rPr>
          <w:color w:val="000000" w:themeColor="text1"/>
        </w:rPr>
        <w:t>nhu cầu tiêu dùng các loại gạo tẻ ngon và gạo nế</w:t>
      </w:r>
      <w:r>
        <w:rPr>
          <w:color w:val="000000" w:themeColor="text1"/>
        </w:rPr>
        <w:t xml:space="preserve">p tăng cao. </w:t>
      </w:r>
      <w:r>
        <w:rPr>
          <w:color w:val="000000" w:themeColor="text1"/>
          <w:lang w:val="en-US"/>
        </w:rPr>
        <w:t>C</w:t>
      </w:r>
      <w:r w:rsidRPr="00150620">
        <w:rPr>
          <w:lang w:val="en-US"/>
        </w:rPr>
        <w:t>hỉ số giá nhóm gạo tăng 2,21% (Gạo tẻ thường tăng 2,14%; gạo tẻ ngon tăng 2,35% và gạo nếp tăng 2,76%).</w:t>
      </w:r>
      <w:r>
        <w:rPr>
          <w:lang w:val="en-US"/>
        </w:rPr>
        <w:t xml:space="preserve"> </w:t>
      </w:r>
      <w:r w:rsidRPr="00150620">
        <w:rPr>
          <w:lang w:val="en-US"/>
        </w:rPr>
        <w:t>Giá gạo tăng đã tác động đến chỉ số giá các mặt hàng lương thực khác như giá ngô tháng Hai tăng 1,92% so với tháng trước; bún, bánh phở, bánh đa tăng 1,45%; miến tăng 1,1%; bột mì tăng 0,93%; mì sợi, mì, phở, cháo ăn liền tăng 0,42%.</w:t>
      </w:r>
    </w:p>
  </w:footnote>
  <w:footnote w:id="17">
    <w:p w14:paraId="264DD10F" w14:textId="77777777" w:rsidR="00F855C2" w:rsidRPr="00150620" w:rsidRDefault="00F855C2" w:rsidP="00A12C9A">
      <w:pPr>
        <w:pStyle w:val="FootnoteText"/>
        <w:spacing w:before="40" w:after="40"/>
        <w:ind w:left="198" w:hanging="198"/>
        <w:jc w:val="both"/>
        <w:rPr>
          <w:lang w:val="en-US"/>
        </w:rPr>
      </w:pPr>
      <w:r w:rsidRPr="009044DD">
        <w:rPr>
          <w:rStyle w:val="FootnoteReference"/>
        </w:rPr>
        <w:footnoteRef/>
      </w:r>
      <w:r w:rsidRPr="009044DD">
        <w:t xml:space="preserve"> </w:t>
      </w:r>
      <w:r w:rsidRPr="00150620">
        <w:t>Chỉ số giá thịt lợ</w:t>
      </w:r>
      <w:r>
        <w:t>n trong tháng tăng 3,9%;</w:t>
      </w:r>
      <w:r>
        <w:rPr>
          <w:lang w:val="en-US"/>
        </w:rPr>
        <w:t xml:space="preserve"> g</w:t>
      </w:r>
      <w:r w:rsidRPr="00A84F01">
        <w:t>iá thị</w:t>
      </w:r>
      <w:r>
        <w:t>t bò tăng 1,66%;</w:t>
      </w:r>
      <w:r w:rsidRPr="00A84F01">
        <w:t xml:space="preserve"> </w:t>
      </w:r>
      <w:r>
        <w:t>g</w:t>
      </w:r>
      <w:r w:rsidRPr="00150620">
        <w:t>iá thịt gia cầm tăng 1,96%</w:t>
      </w:r>
      <w:r>
        <w:rPr>
          <w:lang w:val="en-US"/>
        </w:rPr>
        <w:t>; c</w:t>
      </w:r>
      <w:r w:rsidRPr="00150620">
        <w:rPr>
          <w:lang w:val="en-US"/>
        </w:rPr>
        <w:t>hỉ số giá thủy sản tươi sống tăng 1,81%</w:t>
      </w:r>
      <w:r>
        <w:rPr>
          <w:lang w:val="en-US"/>
        </w:rPr>
        <w:t>; c</w:t>
      </w:r>
      <w:r w:rsidRPr="00A84F01">
        <w:rPr>
          <w:lang w:val="en-US"/>
        </w:rPr>
        <w:t>hỉ số giá các loại đậu và hạt tăng 1,22%; rau tươi, khô và chế biến tăng 1,21%</w:t>
      </w:r>
      <w:r>
        <w:rPr>
          <w:lang w:val="en-US"/>
        </w:rPr>
        <w:t>; c</w:t>
      </w:r>
      <w:r w:rsidRPr="00A84F01">
        <w:rPr>
          <w:lang w:val="en-US"/>
        </w:rPr>
        <w:t>hỉ số giá quả tươi, chế biến tăng 5,69%</w:t>
      </w:r>
      <w:r>
        <w:rPr>
          <w:lang w:val="en-US"/>
        </w:rPr>
        <w:t>; c</w:t>
      </w:r>
      <w:r w:rsidRPr="00A84F01">
        <w:rPr>
          <w:lang w:val="en-US"/>
        </w:rPr>
        <w:t>hỉ số giá đồ gia vị tăng 0,56%; đường tăng 0,88%; sữa, bơ, pho mát tăng 0,32%; bánh mứt, kẹo tăng 0,74% và chè, cà phê, ca cao tăng 0,69%.</w:t>
      </w:r>
    </w:p>
  </w:footnote>
  <w:footnote w:id="18">
    <w:p w14:paraId="1259F595" w14:textId="77777777" w:rsidR="00F855C2" w:rsidRPr="002C19D3" w:rsidRDefault="00F855C2" w:rsidP="00A12C9A">
      <w:pPr>
        <w:pStyle w:val="FootnoteText"/>
        <w:spacing w:before="40" w:after="40"/>
        <w:ind w:left="198" w:hanging="198"/>
        <w:jc w:val="both"/>
        <w:rPr>
          <w:lang w:val="en-US"/>
        </w:rPr>
      </w:pPr>
      <w:r>
        <w:rPr>
          <w:rStyle w:val="FootnoteReference"/>
        </w:rPr>
        <w:footnoteRef/>
      </w:r>
      <w:r>
        <w:t xml:space="preserve"> </w:t>
      </w:r>
      <w:r>
        <w:rPr>
          <w:lang w:val="en-US"/>
        </w:rPr>
        <w:t>D</w:t>
      </w:r>
      <w:r w:rsidRPr="002C19D3">
        <w:t xml:space="preserve">o </w:t>
      </w:r>
      <w:r w:rsidRPr="00150620">
        <w:t>giá nguyên liệu chế biến ở mức cao, điện và chi phí nhân công tăng, trong đó giá ăn ngoài gia đình tăng 1,13%; uống ngoài gia đình tăng 1,01%; đồ ăn nhanh mang đi tăng 0,51%.</w:t>
      </w:r>
    </w:p>
  </w:footnote>
  <w:footnote w:id="19">
    <w:p w14:paraId="202F1366" w14:textId="77777777" w:rsidR="00F855C2" w:rsidRDefault="00F855C2" w:rsidP="00A12C9A">
      <w:pPr>
        <w:pStyle w:val="FootnoteText"/>
        <w:ind w:left="198" w:hanging="198"/>
        <w:jc w:val="both"/>
      </w:pPr>
      <w:r>
        <w:rPr>
          <w:rStyle w:val="FootnoteReference"/>
        </w:rPr>
        <w:footnoteRef/>
      </w:r>
      <w:r>
        <w:t xml:space="preserve"> Chỉ số giá điện, nước sinh hoạt tháng 02/2024 phản ánh biến động trễ một tháng so với các mặt hàng khác do được tính dựa trên doanh thu và sản lượng tiêu dùng của tháng 01/2024.</w:t>
      </w:r>
    </w:p>
  </w:footnote>
  <w:footnote w:id="20">
    <w:p w14:paraId="4907E15B" w14:textId="77777777" w:rsidR="00F855C2" w:rsidRDefault="00F855C2" w:rsidP="00A12C9A">
      <w:pPr>
        <w:pStyle w:val="FootnoteText"/>
        <w:ind w:left="142" w:hanging="142"/>
        <w:jc w:val="both"/>
      </w:pPr>
      <w:r>
        <w:rPr>
          <w:rStyle w:val="FootnoteReference"/>
        </w:rPr>
        <w:footnoteRef/>
      </w:r>
      <w:r>
        <w:t xml:space="preserve"> Các địa phương có chỉ số giá dịch vụ giáo dục tháng 02/2024 giảm so với tháng trước: Lâm Đồng giảm 22,94%; Hậu Giang giảm 5,22%.</w:t>
      </w:r>
    </w:p>
  </w:footnote>
  <w:footnote w:id="21">
    <w:p w14:paraId="4E5D4DD4" w14:textId="77777777" w:rsidR="00F855C2" w:rsidRDefault="00F855C2" w:rsidP="00A12C9A">
      <w:pPr>
        <w:pStyle w:val="FootnoteText"/>
        <w:ind w:left="142" w:hanging="142"/>
        <w:jc w:val="both"/>
      </w:pPr>
      <w:r>
        <w:rPr>
          <w:rStyle w:val="FootnoteReference"/>
        </w:rPr>
        <w:footnoteRef/>
      </w:r>
      <w:r>
        <w:t xml:space="preserve"> CPI sau khi loại trừ lương thực, thực phẩm tươi sống, năng lượng và mặt hàng do Nhà nước quản lý bao gồm dịch vụ y tế và giáo dục.</w:t>
      </w:r>
    </w:p>
  </w:footnote>
  <w:footnote w:id="22">
    <w:p w14:paraId="4F84C9EA" w14:textId="77777777" w:rsidR="00F855C2" w:rsidRPr="00956712" w:rsidRDefault="00F855C2" w:rsidP="00865420">
      <w:pPr>
        <w:pStyle w:val="FootnoteText"/>
        <w:ind w:left="198" w:hanging="198"/>
        <w:jc w:val="both"/>
        <w:rPr>
          <w:lang w:val="nl-NL"/>
        </w:rPr>
      </w:pPr>
      <w:r w:rsidRPr="00956712">
        <w:rPr>
          <w:rStyle w:val="FootnoteReference"/>
        </w:rPr>
        <w:footnoteRef/>
      </w:r>
      <w:r w:rsidRPr="00956712">
        <w:rPr>
          <w:spacing w:val="2"/>
          <w:lang w:val="nl-NL"/>
        </w:rPr>
        <w:t xml:space="preserve"> </w:t>
      </w:r>
      <w:r w:rsidRPr="00956712">
        <w:rPr>
          <w:spacing w:val="2"/>
        </w:rPr>
        <w:t xml:space="preserve">Theo báo cáo của Cục cửa khẩu, Bộ Tư lệnh Bộ đội biên phòng, Bộ Quốc phòng và Cục Xuất nhập cảnh, </w:t>
      </w:r>
      <w:r w:rsidRPr="00956712">
        <w:rPr>
          <w:spacing w:val="2"/>
        </w:rPr>
        <w:br/>
        <w:t>Bộ Công an</w:t>
      </w:r>
      <w:r w:rsidRPr="00956712">
        <w:rPr>
          <w:spacing w:val="2"/>
          <w:lang w:val="vi-VN"/>
        </w:rPr>
        <w:t xml:space="preserve"> </w:t>
      </w:r>
      <w:r w:rsidRPr="00956712">
        <w:rPr>
          <w:spacing w:val="2"/>
          <w:lang w:val="nl-NL"/>
        </w:rPr>
        <w:t>ngày 20/02/2024</w:t>
      </w:r>
      <w:r w:rsidRPr="00956712">
        <w:rPr>
          <w:spacing w:val="2"/>
        </w:rPr>
        <w:t>.</w:t>
      </w:r>
    </w:p>
  </w:footnote>
  <w:footnote w:id="23">
    <w:p w14:paraId="3442F94A" w14:textId="77777777" w:rsidR="00F855C2" w:rsidRPr="00956712" w:rsidRDefault="00F855C2" w:rsidP="00865420">
      <w:pPr>
        <w:pStyle w:val="FootnoteText"/>
        <w:ind w:left="198" w:hanging="198"/>
        <w:jc w:val="both"/>
        <w:rPr>
          <w:lang w:val="nl-NL"/>
        </w:rPr>
      </w:pPr>
      <w:r w:rsidRPr="00956712">
        <w:rPr>
          <w:rStyle w:val="FootnoteReference"/>
        </w:rPr>
        <w:footnoteRef/>
      </w:r>
      <w:r w:rsidRPr="00956712">
        <w:rPr>
          <w:lang w:val="nl-NL"/>
        </w:rPr>
        <w:t xml:space="preserve"> Kỳ báo cáo từ ngày 21/01/2024-20/02/2024.</w:t>
      </w:r>
    </w:p>
  </w:footnote>
  <w:footnote w:id="24">
    <w:p w14:paraId="53866D6F" w14:textId="77777777" w:rsidR="00F855C2" w:rsidRPr="00956712" w:rsidRDefault="00F855C2" w:rsidP="00956712">
      <w:pPr>
        <w:pStyle w:val="FootnoteText"/>
        <w:ind w:left="198" w:hanging="198"/>
        <w:jc w:val="both"/>
      </w:pPr>
      <w:r w:rsidRPr="00956712">
        <w:rPr>
          <w:rStyle w:val="FootnoteReference"/>
        </w:rPr>
        <w:footnoteRef/>
      </w:r>
      <w:r w:rsidRPr="00956712">
        <w:t xml:space="preserve"> </w:t>
      </w:r>
      <w:r w:rsidRPr="00956712">
        <w:rPr>
          <w:spacing w:val="8"/>
        </w:rPr>
        <w:t>Theo báo cáo nhanh từ Văn phòng Bộ Công an và Cục Hàng hải Việt Nam (Bộ Giao thông vận tải)</w:t>
      </w:r>
      <w:r w:rsidRPr="00956712">
        <w:t xml:space="preserve"> </w:t>
      </w:r>
      <w:r w:rsidRPr="00956712">
        <w:rPr>
          <w:lang w:val="de-DE"/>
        </w:rPr>
        <w:t>ngày 23/02/2024</w:t>
      </w:r>
      <w:r w:rsidRPr="00956712">
        <w:t>.</w:t>
      </w:r>
    </w:p>
  </w:footnote>
  <w:footnote w:id="25">
    <w:p w14:paraId="672110AA" w14:textId="77777777" w:rsidR="00F855C2" w:rsidRPr="00956712" w:rsidRDefault="00F855C2" w:rsidP="000708ED">
      <w:pPr>
        <w:pStyle w:val="FootnoteText"/>
        <w:jc w:val="both"/>
        <w:rPr>
          <w:spacing w:val="-2"/>
        </w:rPr>
      </w:pPr>
      <w:r w:rsidRPr="00956712">
        <w:rPr>
          <w:rStyle w:val="FootnoteReference"/>
          <w:spacing w:val="-2"/>
        </w:rPr>
        <w:footnoteRef/>
      </w:r>
      <w:r w:rsidRPr="00956712">
        <w:rPr>
          <w:spacing w:val="-2"/>
        </w:rPr>
        <w:t xml:space="preserve"> Tổng hợp Báo cáo từ 63 Sở Nông nghiệp và Phát triển nông thôn, kỳ báo cáo từ ngày 19/</w:t>
      </w:r>
      <w:r w:rsidRPr="00956712">
        <w:rPr>
          <w:spacing w:val="-2"/>
          <w:lang w:val="en-US"/>
        </w:rPr>
        <w:t>01</w:t>
      </w:r>
      <w:r w:rsidRPr="00956712">
        <w:rPr>
          <w:spacing w:val="-2"/>
        </w:rPr>
        <w:t>-18/</w:t>
      </w:r>
      <w:r w:rsidRPr="00956712">
        <w:rPr>
          <w:spacing w:val="-2"/>
          <w:lang w:val="en-US"/>
        </w:rPr>
        <w:t>0</w:t>
      </w:r>
      <w:r w:rsidRPr="00956712">
        <w:rPr>
          <w:spacing w:val="-2"/>
          <w:lang w:val="de-DE"/>
        </w:rPr>
        <w:t>2</w:t>
      </w:r>
      <w:r w:rsidRPr="00956712">
        <w:rPr>
          <w:spacing w:val="-2"/>
        </w:rPr>
        <w:t>/202</w:t>
      </w:r>
      <w:r w:rsidRPr="00956712">
        <w:rPr>
          <w:spacing w:val="-2"/>
          <w:lang w:val="en-US"/>
        </w:rPr>
        <w:t>4</w:t>
      </w:r>
      <w:r w:rsidRPr="00956712">
        <w:rPr>
          <w:spacing w:val="-2"/>
        </w:rPr>
        <w:t>.</w:t>
      </w:r>
    </w:p>
  </w:footnote>
  <w:footnote w:id="26">
    <w:p w14:paraId="7A8945B0" w14:textId="77777777" w:rsidR="00F855C2" w:rsidRPr="00956712" w:rsidRDefault="00F855C2" w:rsidP="000708ED">
      <w:pPr>
        <w:pStyle w:val="FootnoteText"/>
      </w:pPr>
      <w:r w:rsidRPr="00956712">
        <w:rPr>
          <w:rStyle w:val="FootnoteReference"/>
        </w:rPr>
        <w:footnoteRef/>
      </w:r>
      <w:r w:rsidRPr="00956712">
        <w:t xml:space="preserve"> Theo báo cáo nhanh từ Bộ Công an ngày 23/</w:t>
      </w:r>
      <w:r w:rsidRPr="00956712">
        <w:rPr>
          <w:lang w:val="en-US"/>
        </w:rPr>
        <w:t>02</w:t>
      </w:r>
      <w:r w:rsidRPr="00956712">
        <w:t>/202</w:t>
      </w:r>
      <w:r w:rsidRPr="00956712">
        <w:rPr>
          <w:lang w:val="en-US"/>
        </w:rPr>
        <w:t>4</w:t>
      </w:r>
      <w:r w:rsidRPr="0095671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A3945" w14:textId="77777777" w:rsidR="00F855C2" w:rsidRDefault="00F85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ED533" w14:textId="22A6D17C" w:rsidR="00F855C2" w:rsidRPr="00AC7FFB" w:rsidRDefault="00F855C2">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Pr>
        <w:noProof/>
        <w:sz w:val="26"/>
        <w:szCs w:val="26"/>
      </w:rPr>
      <w:t>20</w:t>
    </w:r>
    <w:r w:rsidRPr="00AC7FFB">
      <w:rPr>
        <w:sz w:val="26"/>
        <w:szCs w:val="26"/>
      </w:rPr>
      <w:fldChar w:fldCharType="end"/>
    </w:r>
  </w:p>
  <w:p w14:paraId="1345E178" w14:textId="77777777" w:rsidR="00F855C2" w:rsidRDefault="00F85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12E76" w14:textId="77777777" w:rsidR="00F855C2" w:rsidRDefault="00F85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F874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782B9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0C6D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5E05C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5C226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9A1A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4A20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D077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F69E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DA3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15"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3"/>
  </w:num>
  <w:num w:numId="2">
    <w:abstractNumId w:val="14"/>
  </w:num>
  <w:num w:numId="3">
    <w:abstractNumId w:val="15"/>
  </w:num>
  <w:num w:numId="4">
    <w:abstractNumId w:val="10"/>
  </w:num>
  <w:num w:numId="5">
    <w:abstractNumId w:val="11"/>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mirrorMargin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106D"/>
    <w:rsid w:val="00001111"/>
    <w:rsid w:val="00001C22"/>
    <w:rsid w:val="000036C2"/>
    <w:rsid w:val="00003C5E"/>
    <w:rsid w:val="000043CF"/>
    <w:rsid w:val="0000461D"/>
    <w:rsid w:val="00005622"/>
    <w:rsid w:val="0000631B"/>
    <w:rsid w:val="000071F9"/>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59"/>
    <w:rsid w:val="0002579C"/>
    <w:rsid w:val="0002736B"/>
    <w:rsid w:val="000277B8"/>
    <w:rsid w:val="0003027A"/>
    <w:rsid w:val="000308C7"/>
    <w:rsid w:val="00030AF3"/>
    <w:rsid w:val="00030D8A"/>
    <w:rsid w:val="000317F3"/>
    <w:rsid w:val="000319D7"/>
    <w:rsid w:val="0003230D"/>
    <w:rsid w:val="00033E21"/>
    <w:rsid w:val="00034406"/>
    <w:rsid w:val="000355A1"/>
    <w:rsid w:val="00036452"/>
    <w:rsid w:val="00040137"/>
    <w:rsid w:val="000420D5"/>
    <w:rsid w:val="00042223"/>
    <w:rsid w:val="00042EB9"/>
    <w:rsid w:val="00044A7D"/>
    <w:rsid w:val="00045745"/>
    <w:rsid w:val="000461E1"/>
    <w:rsid w:val="000463F1"/>
    <w:rsid w:val="00046AD8"/>
    <w:rsid w:val="00046EB2"/>
    <w:rsid w:val="00047933"/>
    <w:rsid w:val="000506B5"/>
    <w:rsid w:val="00050839"/>
    <w:rsid w:val="00050A08"/>
    <w:rsid w:val="00051916"/>
    <w:rsid w:val="00052DD5"/>
    <w:rsid w:val="00054799"/>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483F"/>
    <w:rsid w:val="0006495B"/>
    <w:rsid w:val="00065158"/>
    <w:rsid w:val="0006555A"/>
    <w:rsid w:val="000658A7"/>
    <w:rsid w:val="00065A13"/>
    <w:rsid w:val="00065CCF"/>
    <w:rsid w:val="00066D3C"/>
    <w:rsid w:val="000708ED"/>
    <w:rsid w:val="00070B2D"/>
    <w:rsid w:val="00070C81"/>
    <w:rsid w:val="000712EE"/>
    <w:rsid w:val="00072295"/>
    <w:rsid w:val="00072810"/>
    <w:rsid w:val="00072A12"/>
    <w:rsid w:val="000730C0"/>
    <w:rsid w:val="00074861"/>
    <w:rsid w:val="0007509B"/>
    <w:rsid w:val="0007526A"/>
    <w:rsid w:val="0007626A"/>
    <w:rsid w:val="00076466"/>
    <w:rsid w:val="0007684A"/>
    <w:rsid w:val="00076D5E"/>
    <w:rsid w:val="00076F40"/>
    <w:rsid w:val="0007721A"/>
    <w:rsid w:val="00077553"/>
    <w:rsid w:val="0007787D"/>
    <w:rsid w:val="00077957"/>
    <w:rsid w:val="000809AB"/>
    <w:rsid w:val="00083FA5"/>
    <w:rsid w:val="000851C7"/>
    <w:rsid w:val="0008608F"/>
    <w:rsid w:val="00086FF3"/>
    <w:rsid w:val="000906F5"/>
    <w:rsid w:val="000909CE"/>
    <w:rsid w:val="0009196E"/>
    <w:rsid w:val="00092656"/>
    <w:rsid w:val="00092A06"/>
    <w:rsid w:val="00092C77"/>
    <w:rsid w:val="00092E0E"/>
    <w:rsid w:val="000930DA"/>
    <w:rsid w:val="000937B1"/>
    <w:rsid w:val="00093E9A"/>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3B20"/>
    <w:rsid w:val="000A42A0"/>
    <w:rsid w:val="000A4465"/>
    <w:rsid w:val="000A4A08"/>
    <w:rsid w:val="000A58E0"/>
    <w:rsid w:val="000A5F10"/>
    <w:rsid w:val="000A6278"/>
    <w:rsid w:val="000A64CA"/>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5209"/>
    <w:rsid w:val="000C53E9"/>
    <w:rsid w:val="000C5737"/>
    <w:rsid w:val="000C5829"/>
    <w:rsid w:val="000C65E4"/>
    <w:rsid w:val="000C68DD"/>
    <w:rsid w:val="000C6AB4"/>
    <w:rsid w:val="000C6F18"/>
    <w:rsid w:val="000C74A9"/>
    <w:rsid w:val="000C7688"/>
    <w:rsid w:val="000C7F9F"/>
    <w:rsid w:val="000D0051"/>
    <w:rsid w:val="000D26EE"/>
    <w:rsid w:val="000D26EF"/>
    <w:rsid w:val="000D3A06"/>
    <w:rsid w:val="000D4AFF"/>
    <w:rsid w:val="000D4CC8"/>
    <w:rsid w:val="000D4F5D"/>
    <w:rsid w:val="000D53AB"/>
    <w:rsid w:val="000D573D"/>
    <w:rsid w:val="000D58AA"/>
    <w:rsid w:val="000D60C2"/>
    <w:rsid w:val="000D713B"/>
    <w:rsid w:val="000D71B7"/>
    <w:rsid w:val="000D76D0"/>
    <w:rsid w:val="000D78C2"/>
    <w:rsid w:val="000E0006"/>
    <w:rsid w:val="000E0C6F"/>
    <w:rsid w:val="000E1182"/>
    <w:rsid w:val="000E2AD5"/>
    <w:rsid w:val="000E4B18"/>
    <w:rsid w:val="000E4E3C"/>
    <w:rsid w:val="000E535D"/>
    <w:rsid w:val="000E6165"/>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B4"/>
    <w:rsid w:val="00101826"/>
    <w:rsid w:val="0010196B"/>
    <w:rsid w:val="0010267B"/>
    <w:rsid w:val="00103A80"/>
    <w:rsid w:val="00103B7E"/>
    <w:rsid w:val="001053C0"/>
    <w:rsid w:val="001067DB"/>
    <w:rsid w:val="00107927"/>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802"/>
    <w:rsid w:val="001409C2"/>
    <w:rsid w:val="00141006"/>
    <w:rsid w:val="001413DD"/>
    <w:rsid w:val="00141744"/>
    <w:rsid w:val="00141BCE"/>
    <w:rsid w:val="00142019"/>
    <w:rsid w:val="001426FE"/>
    <w:rsid w:val="00142D28"/>
    <w:rsid w:val="00143944"/>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4709"/>
    <w:rsid w:val="00164CDE"/>
    <w:rsid w:val="001655F8"/>
    <w:rsid w:val="00165BBE"/>
    <w:rsid w:val="001665C1"/>
    <w:rsid w:val="00166711"/>
    <w:rsid w:val="00166F19"/>
    <w:rsid w:val="00170E86"/>
    <w:rsid w:val="00171A4B"/>
    <w:rsid w:val="001724C7"/>
    <w:rsid w:val="001727A5"/>
    <w:rsid w:val="00173C75"/>
    <w:rsid w:val="00174088"/>
    <w:rsid w:val="00174CD4"/>
    <w:rsid w:val="00175126"/>
    <w:rsid w:val="0017608F"/>
    <w:rsid w:val="00176E13"/>
    <w:rsid w:val="0017716A"/>
    <w:rsid w:val="00177248"/>
    <w:rsid w:val="00180A37"/>
    <w:rsid w:val="00180D47"/>
    <w:rsid w:val="0018111D"/>
    <w:rsid w:val="0018214D"/>
    <w:rsid w:val="00182AE3"/>
    <w:rsid w:val="001836D2"/>
    <w:rsid w:val="001842C2"/>
    <w:rsid w:val="00184CDD"/>
    <w:rsid w:val="00185B08"/>
    <w:rsid w:val="00185C7C"/>
    <w:rsid w:val="00185CEB"/>
    <w:rsid w:val="001867C2"/>
    <w:rsid w:val="0018688D"/>
    <w:rsid w:val="001879CD"/>
    <w:rsid w:val="00187FE2"/>
    <w:rsid w:val="001909BC"/>
    <w:rsid w:val="00190AEB"/>
    <w:rsid w:val="00190D41"/>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6265"/>
    <w:rsid w:val="001A632D"/>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6AC"/>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43F7"/>
    <w:rsid w:val="001C4575"/>
    <w:rsid w:val="001C48AB"/>
    <w:rsid w:val="001C76B1"/>
    <w:rsid w:val="001C7ADA"/>
    <w:rsid w:val="001D13CD"/>
    <w:rsid w:val="001D2988"/>
    <w:rsid w:val="001D3772"/>
    <w:rsid w:val="001D49F4"/>
    <w:rsid w:val="001D4C5F"/>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4E46"/>
    <w:rsid w:val="00205351"/>
    <w:rsid w:val="00205E9D"/>
    <w:rsid w:val="0020639D"/>
    <w:rsid w:val="00206E2F"/>
    <w:rsid w:val="00207B86"/>
    <w:rsid w:val="002109E7"/>
    <w:rsid w:val="002119D4"/>
    <w:rsid w:val="0021331F"/>
    <w:rsid w:val="00213504"/>
    <w:rsid w:val="00213741"/>
    <w:rsid w:val="00214BD5"/>
    <w:rsid w:val="00215A08"/>
    <w:rsid w:val="00216288"/>
    <w:rsid w:val="00216820"/>
    <w:rsid w:val="00216F88"/>
    <w:rsid w:val="00217082"/>
    <w:rsid w:val="0022111F"/>
    <w:rsid w:val="00222054"/>
    <w:rsid w:val="00222603"/>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2D2"/>
    <w:rsid w:val="00246895"/>
    <w:rsid w:val="00246DB4"/>
    <w:rsid w:val="00246E11"/>
    <w:rsid w:val="002473DA"/>
    <w:rsid w:val="00250DF8"/>
    <w:rsid w:val="00252237"/>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F84"/>
    <w:rsid w:val="00271A36"/>
    <w:rsid w:val="00272057"/>
    <w:rsid w:val="00272C69"/>
    <w:rsid w:val="00272F35"/>
    <w:rsid w:val="00272FD8"/>
    <w:rsid w:val="002746F6"/>
    <w:rsid w:val="00276597"/>
    <w:rsid w:val="00276AEF"/>
    <w:rsid w:val="00276BBB"/>
    <w:rsid w:val="00277396"/>
    <w:rsid w:val="00277A2F"/>
    <w:rsid w:val="00277D53"/>
    <w:rsid w:val="0028025F"/>
    <w:rsid w:val="00280560"/>
    <w:rsid w:val="00280A50"/>
    <w:rsid w:val="00280F5D"/>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2F96"/>
    <w:rsid w:val="002931B4"/>
    <w:rsid w:val="00294043"/>
    <w:rsid w:val="00294BF0"/>
    <w:rsid w:val="00294F82"/>
    <w:rsid w:val="0029538F"/>
    <w:rsid w:val="0029679B"/>
    <w:rsid w:val="002967BE"/>
    <w:rsid w:val="002978A7"/>
    <w:rsid w:val="002978B4"/>
    <w:rsid w:val="002A06B7"/>
    <w:rsid w:val="002A0FB3"/>
    <w:rsid w:val="002A1098"/>
    <w:rsid w:val="002A1D7F"/>
    <w:rsid w:val="002A1F3F"/>
    <w:rsid w:val="002A20F4"/>
    <w:rsid w:val="002A2190"/>
    <w:rsid w:val="002A2D5D"/>
    <w:rsid w:val="002A5269"/>
    <w:rsid w:val="002A564D"/>
    <w:rsid w:val="002A58CB"/>
    <w:rsid w:val="002A5F08"/>
    <w:rsid w:val="002A64AF"/>
    <w:rsid w:val="002A693B"/>
    <w:rsid w:val="002A6C59"/>
    <w:rsid w:val="002A6D5C"/>
    <w:rsid w:val="002A7813"/>
    <w:rsid w:val="002B0104"/>
    <w:rsid w:val="002B0D6E"/>
    <w:rsid w:val="002B1778"/>
    <w:rsid w:val="002B20B1"/>
    <w:rsid w:val="002B32A3"/>
    <w:rsid w:val="002B3F9A"/>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F31"/>
    <w:rsid w:val="002F6F8F"/>
    <w:rsid w:val="002F7C5C"/>
    <w:rsid w:val="002F7F0F"/>
    <w:rsid w:val="00301C19"/>
    <w:rsid w:val="00301E3E"/>
    <w:rsid w:val="0030244C"/>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EEA"/>
    <w:rsid w:val="00333FCB"/>
    <w:rsid w:val="00334421"/>
    <w:rsid w:val="00335BEB"/>
    <w:rsid w:val="00335C3A"/>
    <w:rsid w:val="00336285"/>
    <w:rsid w:val="003369FF"/>
    <w:rsid w:val="00337C63"/>
    <w:rsid w:val="00337EF8"/>
    <w:rsid w:val="00340654"/>
    <w:rsid w:val="00342138"/>
    <w:rsid w:val="00343E99"/>
    <w:rsid w:val="00343FEC"/>
    <w:rsid w:val="00344066"/>
    <w:rsid w:val="00344A45"/>
    <w:rsid w:val="00344C94"/>
    <w:rsid w:val="0034570B"/>
    <w:rsid w:val="00347DAC"/>
    <w:rsid w:val="003503F9"/>
    <w:rsid w:val="0035061B"/>
    <w:rsid w:val="003508ED"/>
    <w:rsid w:val="00350F5B"/>
    <w:rsid w:val="00351ACE"/>
    <w:rsid w:val="00351B4C"/>
    <w:rsid w:val="00351BCA"/>
    <w:rsid w:val="00353826"/>
    <w:rsid w:val="0035460D"/>
    <w:rsid w:val="00354AC6"/>
    <w:rsid w:val="00356186"/>
    <w:rsid w:val="003573E1"/>
    <w:rsid w:val="0036078D"/>
    <w:rsid w:val="00360AC9"/>
    <w:rsid w:val="003613D8"/>
    <w:rsid w:val="0036195D"/>
    <w:rsid w:val="00362576"/>
    <w:rsid w:val="00362821"/>
    <w:rsid w:val="003630BA"/>
    <w:rsid w:val="003641CE"/>
    <w:rsid w:val="003646D3"/>
    <w:rsid w:val="00365F85"/>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99B"/>
    <w:rsid w:val="00390782"/>
    <w:rsid w:val="00391153"/>
    <w:rsid w:val="0039142A"/>
    <w:rsid w:val="00392005"/>
    <w:rsid w:val="003921AB"/>
    <w:rsid w:val="00393310"/>
    <w:rsid w:val="00394017"/>
    <w:rsid w:val="00394184"/>
    <w:rsid w:val="003948C3"/>
    <w:rsid w:val="0039524D"/>
    <w:rsid w:val="00395AE7"/>
    <w:rsid w:val="003962FA"/>
    <w:rsid w:val="00396456"/>
    <w:rsid w:val="00396735"/>
    <w:rsid w:val="00396D19"/>
    <w:rsid w:val="0039734B"/>
    <w:rsid w:val="00397A90"/>
    <w:rsid w:val="003A032D"/>
    <w:rsid w:val="003A0469"/>
    <w:rsid w:val="003A20D9"/>
    <w:rsid w:val="003A35EA"/>
    <w:rsid w:val="003A43B6"/>
    <w:rsid w:val="003A5AB4"/>
    <w:rsid w:val="003A5C51"/>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2153"/>
    <w:rsid w:val="003C2361"/>
    <w:rsid w:val="003C2625"/>
    <w:rsid w:val="003C290E"/>
    <w:rsid w:val="003C38A5"/>
    <w:rsid w:val="003C3B1A"/>
    <w:rsid w:val="003C5032"/>
    <w:rsid w:val="003C573B"/>
    <w:rsid w:val="003C62B6"/>
    <w:rsid w:val="003C6B83"/>
    <w:rsid w:val="003C74EA"/>
    <w:rsid w:val="003C7FC2"/>
    <w:rsid w:val="003D0D09"/>
    <w:rsid w:val="003D11FA"/>
    <w:rsid w:val="003D1C6F"/>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464B"/>
    <w:rsid w:val="003E4B8B"/>
    <w:rsid w:val="003E5310"/>
    <w:rsid w:val="003E5459"/>
    <w:rsid w:val="003E7967"/>
    <w:rsid w:val="003E79D5"/>
    <w:rsid w:val="003F0288"/>
    <w:rsid w:val="003F0E35"/>
    <w:rsid w:val="003F0E91"/>
    <w:rsid w:val="003F1828"/>
    <w:rsid w:val="003F1B11"/>
    <w:rsid w:val="003F1C0F"/>
    <w:rsid w:val="003F374A"/>
    <w:rsid w:val="003F436B"/>
    <w:rsid w:val="003F55B3"/>
    <w:rsid w:val="003F613E"/>
    <w:rsid w:val="003F6605"/>
    <w:rsid w:val="003F6B51"/>
    <w:rsid w:val="003F75DC"/>
    <w:rsid w:val="0040059E"/>
    <w:rsid w:val="00400EFE"/>
    <w:rsid w:val="00401746"/>
    <w:rsid w:val="00401A24"/>
    <w:rsid w:val="00401B5D"/>
    <w:rsid w:val="00402123"/>
    <w:rsid w:val="00402AF1"/>
    <w:rsid w:val="00403340"/>
    <w:rsid w:val="0040343C"/>
    <w:rsid w:val="004049DE"/>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A25"/>
    <w:rsid w:val="00471EFD"/>
    <w:rsid w:val="004720F0"/>
    <w:rsid w:val="00472148"/>
    <w:rsid w:val="004722F7"/>
    <w:rsid w:val="00473A87"/>
    <w:rsid w:val="00473A9B"/>
    <w:rsid w:val="00474541"/>
    <w:rsid w:val="00474E3C"/>
    <w:rsid w:val="0047502D"/>
    <w:rsid w:val="00475BE3"/>
    <w:rsid w:val="00475C6A"/>
    <w:rsid w:val="00475D80"/>
    <w:rsid w:val="004760EC"/>
    <w:rsid w:val="00476E50"/>
    <w:rsid w:val="004811C2"/>
    <w:rsid w:val="004815EC"/>
    <w:rsid w:val="004820F1"/>
    <w:rsid w:val="0048210B"/>
    <w:rsid w:val="004821CF"/>
    <w:rsid w:val="00482AD6"/>
    <w:rsid w:val="004836C2"/>
    <w:rsid w:val="00484212"/>
    <w:rsid w:val="00484583"/>
    <w:rsid w:val="00484754"/>
    <w:rsid w:val="004857EB"/>
    <w:rsid w:val="00485881"/>
    <w:rsid w:val="00486294"/>
    <w:rsid w:val="00486A1C"/>
    <w:rsid w:val="00486BA5"/>
    <w:rsid w:val="004872D8"/>
    <w:rsid w:val="00487872"/>
    <w:rsid w:val="00487E32"/>
    <w:rsid w:val="00490207"/>
    <w:rsid w:val="004911CB"/>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C06"/>
    <w:rsid w:val="004A572E"/>
    <w:rsid w:val="004A5C2F"/>
    <w:rsid w:val="004A6E79"/>
    <w:rsid w:val="004B0889"/>
    <w:rsid w:val="004B08BD"/>
    <w:rsid w:val="004B143F"/>
    <w:rsid w:val="004B1981"/>
    <w:rsid w:val="004B3698"/>
    <w:rsid w:val="004B36A3"/>
    <w:rsid w:val="004B3C45"/>
    <w:rsid w:val="004B5DCF"/>
    <w:rsid w:val="004B7E7F"/>
    <w:rsid w:val="004C075B"/>
    <w:rsid w:val="004C0D70"/>
    <w:rsid w:val="004C1B99"/>
    <w:rsid w:val="004C1C66"/>
    <w:rsid w:val="004C2737"/>
    <w:rsid w:val="004C2A87"/>
    <w:rsid w:val="004C3102"/>
    <w:rsid w:val="004C3D22"/>
    <w:rsid w:val="004C4EB5"/>
    <w:rsid w:val="004C5123"/>
    <w:rsid w:val="004C6435"/>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3EF"/>
    <w:rsid w:val="004E693F"/>
    <w:rsid w:val="004E7A71"/>
    <w:rsid w:val="004E7F32"/>
    <w:rsid w:val="004F0182"/>
    <w:rsid w:val="004F0C3E"/>
    <w:rsid w:val="004F197F"/>
    <w:rsid w:val="004F1E9F"/>
    <w:rsid w:val="004F24F7"/>
    <w:rsid w:val="004F342F"/>
    <w:rsid w:val="004F4D2C"/>
    <w:rsid w:val="004F4E31"/>
    <w:rsid w:val="004F5550"/>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976"/>
    <w:rsid w:val="00505C15"/>
    <w:rsid w:val="00506501"/>
    <w:rsid w:val="00506888"/>
    <w:rsid w:val="00507297"/>
    <w:rsid w:val="00507D89"/>
    <w:rsid w:val="00510318"/>
    <w:rsid w:val="005103CA"/>
    <w:rsid w:val="00510750"/>
    <w:rsid w:val="0051116C"/>
    <w:rsid w:val="005116CF"/>
    <w:rsid w:val="005119B9"/>
    <w:rsid w:val="00512510"/>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515"/>
    <w:rsid w:val="00532BA1"/>
    <w:rsid w:val="00533B03"/>
    <w:rsid w:val="00534241"/>
    <w:rsid w:val="00534AD9"/>
    <w:rsid w:val="00534F89"/>
    <w:rsid w:val="00535297"/>
    <w:rsid w:val="005363A9"/>
    <w:rsid w:val="00536D67"/>
    <w:rsid w:val="00536DC1"/>
    <w:rsid w:val="0053717E"/>
    <w:rsid w:val="005372CA"/>
    <w:rsid w:val="00537359"/>
    <w:rsid w:val="00537AA7"/>
    <w:rsid w:val="00537EF3"/>
    <w:rsid w:val="0054023E"/>
    <w:rsid w:val="005402DE"/>
    <w:rsid w:val="005410D2"/>
    <w:rsid w:val="0054138F"/>
    <w:rsid w:val="005413B5"/>
    <w:rsid w:val="005417C8"/>
    <w:rsid w:val="0054210B"/>
    <w:rsid w:val="005422F7"/>
    <w:rsid w:val="005430CA"/>
    <w:rsid w:val="00543730"/>
    <w:rsid w:val="00543D37"/>
    <w:rsid w:val="005447CC"/>
    <w:rsid w:val="00544B44"/>
    <w:rsid w:val="00545366"/>
    <w:rsid w:val="00545514"/>
    <w:rsid w:val="005462CF"/>
    <w:rsid w:val="00547082"/>
    <w:rsid w:val="0054773E"/>
    <w:rsid w:val="00550E31"/>
    <w:rsid w:val="00551275"/>
    <w:rsid w:val="00551592"/>
    <w:rsid w:val="00552A61"/>
    <w:rsid w:val="00553379"/>
    <w:rsid w:val="00553972"/>
    <w:rsid w:val="005540B3"/>
    <w:rsid w:val="005545B9"/>
    <w:rsid w:val="00554896"/>
    <w:rsid w:val="00554A3A"/>
    <w:rsid w:val="0055518C"/>
    <w:rsid w:val="00555697"/>
    <w:rsid w:val="0055664D"/>
    <w:rsid w:val="005574E1"/>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A82"/>
    <w:rsid w:val="005A0B2B"/>
    <w:rsid w:val="005A1DCE"/>
    <w:rsid w:val="005A1E6F"/>
    <w:rsid w:val="005A2D13"/>
    <w:rsid w:val="005A4145"/>
    <w:rsid w:val="005A4EDC"/>
    <w:rsid w:val="005A6770"/>
    <w:rsid w:val="005A75BF"/>
    <w:rsid w:val="005B015D"/>
    <w:rsid w:val="005B027B"/>
    <w:rsid w:val="005B03DF"/>
    <w:rsid w:val="005B1317"/>
    <w:rsid w:val="005B1763"/>
    <w:rsid w:val="005B2113"/>
    <w:rsid w:val="005B2470"/>
    <w:rsid w:val="005B3950"/>
    <w:rsid w:val="005B3AE3"/>
    <w:rsid w:val="005B43D0"/>
    <w:rsid w:val="005B43FA"/>
    <w:rsid w:val="005B4A75"/>
    <w:rsid w:val="005B64DA"/>
    <w:rsid w:val="005B738B"/>
    <w:rsid w:val="005B748E"/>
    <w:rsid w:val="005C0004"/>
    <w:rsid w:val="005C0C96"/>
    <w:rsid w:val="005C14A0"/>
    <w:rsid w:val="005C1F5C"/>
    <w:rsid w:val="005C644F"/>
    <w:rsid w:val="005C6AC9"/>
    <w:rsid w:val="005C7094"/>
    <w:rsid w:val="005D0080"/>
    <w:rsid w:val="005D029B"/>
    <w:rsid w:val="005D0720"/>
    <w:rsid w:val="005D08AD"/>
    <w:rsid w:val="005D15EB"/>
    <w:rsid w:val="005D16E2"/>
    <w:rsid w:val="005D194A"/>
    <w:rsid w:val="005D234A"/>
    <w:rsid w:val="005D292E"/>
    <w:rsid w:val="005D2DF7"/>
    <w:rsid w:val="005D350C"/>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EF6"/>
    <w:rsid w:val="005F021A"/>
    <w:rsid w:val="005F0A29"/>
    <w:rsid w:val="005F149F"/>
    <w:rsid w:val="005F2199"/>
    <w:rsid w:val="005F231B"/>
    <w:rsid w:val="005F2AA9"/>
    <w:rsid w:val="005F3E59"/>
    <w:rsid w:val="005F4387"/>
    <w:rsid w:val="005F4438"/>
    <w:rsid w:val="005F470F"/>
    <w:rsid w:val="005F5A83"/>
    <w:rsid w:val="005F7316"/>
    <w:rsid w:val="005F7A3D"/>
    <w:rsid w:val="00600233"/>
    <w:rsid w:val="00603898"/>
    <w:rsid w:val="0060421C"/>
    <w:rsid w:val="006050D9"/>
    <w:rsid w:val="0060651F"/>
    <w:rsid w:val="00610535"/>
    <w:rsid w:val="006107E7"/>
    <w:rsid w:val="00611090"/>
    <w:rsid w:val="006115E9"/>
    <w:rsid w:val="00611F07"/>
    <w:rsid w:val="00611FB3"/>
    <w:rsid w:val="00612744"/>
    <w:rsid w:val="0061286E"/>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28DB"/>
    <w:rsid w:val="00644250"/>
    <w:rsid w:val="00647C00"/>
    <w:rsid w:val="0065072E"/>
    <w:rsid w:val="00651CA2"/>
    <w:rsid w:val="006526D6"/>
    <w:rsid w:val="00653776"/>
    <w:rsid w:val="0065379C"/>
    <w:rsid w:val="00654009"/>
    <w:rsid w:val="0065516B"/>
    <w:rsid w:val="00655C8A"/>
    <w:rsid w:val="0065628F"/>
    <w:rsid w:val="0066247C"/>
    <w:rsid w:val="00662AE7"/>
    <w:rsid w:val="00663097"/>
    <w:rsid w:val="0066486E"/>
    <w:rsid w:val="006648A4"/>
    <w:rsid w:val="00664CDE"/>
    <w:rsid w:val="00664F00"/>
    <w:rsid w:val="00665070"/>
    <w:rsid w:val="00665110"/>
    <w:rsid w:val="00665133"/>
    <w:rsid w:val="00665140"/>
    <w:rsid w:val="006662B3"/>
    <w:rsid w:val="006665E3"/>
    <w:rsid w:val="00666959"/>
    <w:rsid w:val="00667394"/>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3A"/>
    <w:rsid w:val="00686051"/>
    <w:rsid w:val="00686D1D"/>
    <w:rsid w:val="00686FB1"/>
    <w:rsid w:val="006902C7"/>
    <w:rsid w:val="006908FB"/>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D52"/>
    <w:rsid w:val="006C7FF8"/>
    <w:rsid w:val="006D02A0"/>
    <w:rsid w:val="006D03DA"/>
    <w:rsid w:val="006D267C"/>
    <w:rsid w:val="006D3FDB"/>
    <w:rsid w:val="006D4066"/>
    <w:rsid w:val="006D4161"/>
    <w:rsid w:val="006D479A"/>
    <w:rsid w:val="006D4C2D"/>
    <w:rsid w:val="006D63EA"/>
    <w:rsid w:val="006D6FA3"/>
    <w:rsid w:val="006D7146"/>
    <w:rsid w:val="006D7B3A"/>
    <w:rsid w:val="006E0C56"/>
    <w:rsid w:val="006E2097"/>
    <w:rsid w:val="006E2671"/>
    <w:rsid w:val="006E2C2D"/>
    <w:rsid w:val="006E31A9"/>
    <w:rsid w:val="006E3F96"/>
    <w:rsid w:val="006E4A0D"/>
    <w:rsid w:val="006E7295"/>
    <w:rsid w:val="006E77E9"/>
    <w:rsid w:val="006E798C"/>
    <w:rsid w:val="006F0149"/>
    <w:rsid w:val="006F0711"/>
    <w:rsid w:val="006F1A2C"/>
    <w:rsid w:val="006F1CDE"/>
    <w:rsid w:val="006F2CC0"/>
    <w:rsid w:val="006F2EE5"/>
    <w:rsid w:val="006F31FB"/>
    <w:rsid w:val="006F36C8"/>
    <w:rsid w:val="006F3E32"/>
    <w:rsid w:val="006F4684"/>
    <w:rsid w:val="006F5DAE"/>
    <w:rsid w:val="006F6568"/>
    <w:rsid w:val="006F6890"/>
    <w:rsid w:val="006F765E"/>
    <w:rsid w:val="006F7BD2"/>
    <w:rsid w:val="00700F0C"/>
    <w:rsid w:val="0070102C"/>
    <w:rsid w:val="007018F4"/>
    <w:rsid w:val="0070388E"/>
    <w:rsid w:val="00704A55"/>
    <w:rsid w:val="007057CB"/>
    <w:rsid w:val="00706683"/>
    <w:rsid w:val="00710239"/>
    <w:rsid w:val="00710A24"/>
    <w:rsid w:val="00712FDC"/>
    <w:rsid w:val="0071307C"/>
    <w:rsid w:val="00714249"/>
    <w:rsid w:val="0071441A"/>
    <w:rsid w:val="00714C15"/>
    <w:rsid w:val="00716C15"/>
    <w:rsid w:val="00716EF8"/>
    <w:rsid w:val="00717128"/>
    <w:rsid w:val="00717C12"/>
    <w:rsid w:val="00720F7C"/>
    <w:rsid w:val="00721124"/>
    <w:rsid w:val="007212B6"/>
    <w:rsid w:val="007226EF"/>
    <w:rsid w:val="007228EF"/>
    <w:rsid w:val="007264D4"/>
    <w:rsid w:val="0072676D"/>
    <w:rsid w:val="00726E9E"/>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504B9"/>
    <w:rsid w:val="00751464"/>
    <w:rsid w:val="0075162B"/>
    <w:rsid w:val="00751B39"/>
    <w:rsid w:val="00752FED"/>
    <w:rsid w:val="0075389D"/>
    <w:rsid w:val="00753C2F"/>
    <w:rsid w:val="0075474B"/>
    <w:rsid w:val="00755AA8"/>
    <w:rsid w:val="00755C7F"/>
    <w:rsid w:val="00755F1C"/>
    <w:rsid w:val="007568FE"/>
    <w:rsid w:val="00756CC4"/>
    <w:rsid w:val="0076113B"/>
    <w:rsid w:val="007617D9"/>
    <w:rsid w:val="00761B6E"/>
    <w:rsid w:val="0076337C"/>
    <w:rsid w:val="00763744"/>
    <w:rsid w:val="007645A8"/>
    <w:rsid w:val="00765BF5"/>
    <w:rsid w:val="007664A2"/>
    <w:rsid w:val="00766FB1"/>
    <w:rsid w:val="00767678"/>
    <w:rsid w:val="007678A6"/>
    <w:rsid w:val="007678D8"/>
    <w:rsid w:val="0077102C"/>
    <w:rsid w:val="00771B29"/>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5651"/>
    <w:rsid w:val="00787E50"/>
    <w:rsid w:val="00787F31"/>
    <w:rsid w:val="00790614"/>
    <w:rsid w:val="0079322E"/>
    <w:rsid w:val="00795AA3"/>
    <w:rsid w:val="00795E9A"/>
    <w:rsid w:val="007979E8"/>
    <w:rsid w:val="007A0948"/>
    <w:rsid w:val="007A2649"/>
    <w:rsid w:val="007A3468"/>
    <w:rsid w:val="007A4389"/>
    <w:rsid w:val="007A4523"/>
    <w:rsid w:val="007A4661"/>
    <w:rsid w:val="007A5672"/>
    <w:rsid w:val="007A6202"/>
    <w:rsid w:val="007A77EB"/>
    <w:rsid w:val="007B1378"/>
    <w:rsid w:val="007B2402"/>
    <w:rsid w:val="007B276E"/>
    <w:rsid w:val="007B38A7"/>
    <w:rsid w:val="007B39E0"/>
    <w:rsid w:val="007B3DD0"/>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47D"/>
    <w:rsid w:val="007C5E3D"/>
    <w:rsid w:val="007C6684"/>
    <w:rsid w:val="007C69B9"/>
    <w:rsid w:val="007C6A81"/>
    <w:rsid w:val="007C77AA"/>
    <w:rsid w:val="007C7F4B"/>
    <w:rsid w:val="007D03EE"/>
    <w:rsid w:val="007D0AD7"/>
    <w:rsid w:val="007D1D1E"/>
    <w:rsid w:val="007D3B10"/>
    <w:rsid w:val="007D462D"/>
    <w:rsid w:val="007D46FC"/>
    <w:rsid w:val="007D4903"/>
    <w:rsid w:val="007D5537"/>
    <w:rsid w:val="007D5963"/>
    <w:rsid w:val="007D5C66"/>
    <w:rsid w:val="007D5FE7"/>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C6E"/>
    <w:rsid w:val="00810F42"/>
    <w:rsid w:val="00810FD1"/>
    <w:rsid w:val="00811308"/>
    <w:rsid w:val="00811581"/>
    <w:rsid w:val="00812759"/>
    <w:rsid w:val="00813446"/>
    <w:rsid w:val="008138A9"/>
    <w:rsid w:val="008141D7"/>
    <w:rsid w:val="00814574"/>
    <w:rsid w:val="0081496C"/>
    <w:rsid w:val="00816211"/>
    <w:rsid w:val="008228B8"/>
    <w:rsid w:val="00824DDF"/>
    <w:rsid w:val="00825299"/>
    <w:rsid w:val="00825E42"/>
    <w:rsid w:val="00826219"/>
    <w:rsid w:val="00827233"/>
    <w:rsid w:val="0082768B"/>
    <w:rsid w:val="0083084D"/>
    <w:rsid w:val="008310E9"/>
    <w:rsid w:val="0083222F"/>
    <w:rsid w:val="008334C2"/>
    <w:rsid w:val="00834C65"/>
    <w:rsid w:val="0083541D"/>
    <w:rsid w:val="00835F09"/>
    <w:rsid w:val="0083634B"/>
    <w:rsid w:val="00840116"/>
    <w:rsid w:val="00840D3F"/>
    <w:rsid w:val="00842B64"/>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5420"/>
    <w:rsid w:val="0086637F"/>
    <w:rsid w:val="0086662D"/>
    <w:rsid w:val="008667AA"/>
    <w:rsid w:val="008669C1"/>
    <w:rsid w:val="00866B10"/>
    <w:rsid w:val="00866B98"/>
    <w:rsid w:val="0086787C"/>
    <w:rsid w:val="00867D42"/>
    <w:rsid w:val="008708D0"/>
    <w:rsid w:val="00870904"/>
    <w:rsid w:val="00872167"/>
    <w:rsid w:val="008726A6"/>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9EF"/>
    <w:rsid w:val="00885A90"/>
    <w:rsid w:val="00885D68"/>
    <w:rsid w:val="00886773"/>
    <w:rsid w:val="00887103"/>
    <w:rsid w:val="00887313"/>
    <w:rsid w:val="00887597"/>
    <w:rsid w:val="00887959"/>
    <w:rsid w:val="0089090A"/>
    <w:rsid w:val="00891A92"/>
    <w:rsid w:val="008923B8"/>
    <w:rsid w:val="0089337C"/>
    <w:rsid w:val="00893528"/>
    <w:rsid w:val="008935F3"/>
    <w:rsid w:val="008945F4"/>
    <w:rsid w:val="00894984"/>
    <w:rsid w:val="00895235"/>
    <w:rsid w:val="0089555C"/>
    <w:rsid w:val="008966BC"/>
    <w:rsid w:val="008969AF"/>
    <w:rsid w:val="008A1575"/>
    <w:rsid w:val="008A175C"/>
    <w:rsid w:val="008A1A4E"/>
    <w:rsid w:val="008A259A"/>
    <w:rsid w:val="008A3AF4"/>
    <w:rsid w:val="008A3F11"/>
    <w:rsid w:val="008A4131"/>
    <w:rsid w:val="008A4280"/>
    <w:rsid w:val="008A4ACD"/>
    <w:rsid w:val="008A4F3E"/>
    <w:rsid w:val="008A5455"/>
    <w:rsid w:val="008A7B33"/>
    <w:rsid w:val="008A7D7F"/>
    <w:rsid w:val="008B04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B46"/>
    <w:rsid w:val="008C63D6"/>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5C87"/>
    <w:rsid w:val="008F6291"/>
    <w:rsid w:val="008F62C9"/>
    <w:rsid w:val="008F63B2"/>
    <w:rsid w:val="008F6CDF"/>
    <w:rsid w:val="008F6D39"/>
    <w:rsid w:val="008F6F5D"/>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539"/>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57"/>
    <w:rsid w:val="0093739E"/>
    <w:rsid w:val="00940A41"/>
    <w:rsid w:val="00941B7D"/>
    <w:rsid w:val="00941C8F"/>
    <w:rsid w:val="0094380E"/>
    <w:rsid w:val="009444D6"/>
    <w:rsid w:val="0094454B"/>
    <w:rsid w:val="00944B45"/>
    <w:rsid w:val="0094509E"/>
    <w:rsid w:val="009459BB"/>
    <w:rsid w:val="009464A1"/>
    <w:rsid w:val="009502F8"/>
    <w:rsid w:val="00950743"/>
    <w:rsid w:val="00953157"/>
    <w:rsid w:val="00953EE8"/>
    <w:rsid w:val="00954441"/>
    <w:rsid w:val="009550E9"/>
    <w:rsid w:val="0095647F"/>
    <w:rsid w:val="00956712"/>
    <w:rsid w:val="0095677C"/>
    <w:rsid w:val="00956A94"/>
    <w:rsid w:val="00956F29"/>
    <w:rsid w:val="009572FF"/>
    <w:rsid w:val="0095733B"/>
    <w:rsid w:val="009604D1"/>
    <w:rsid w:val="00960550"/>
    <w:rsid w:val="00961197"/>
    <w:rsid w:val="0096179E"/>
    <w:rsid w:val="009620E0"/>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56D"/>
    <w:rsid w:val="009777FF"/>
    <w:rsid w:val="00977EAE"/>
    <w:rsid w:val="00981633"/>
    <w:rsid w:val="00981A96"/>
    <w:rsid w:val="00981E56"/>
    <w:rsid w:val="00982BB3"/>
    <w:rsid w:val="0098315B"/>
    <w:rsid w:val="00983602"/>
    <w:rsid w:val="00983924"/>
    <w:rsid w:val="00984B96"/>
    <w:rsid w:val="00985175"/>
    <w:rsid w:val="00985EAF"/>
    <w:rsid w:val="0098755F"/>
    <w:rsid w:val="0099088E"/>
    <w:rsid w:val="00990C0A"/>
    <w:rsid w:val="009931D8"/>
    <w:rsid w:val="00993215"/>
    <w:rsid w:val="00993807"/>
    <w:rsid w:val="00993A28"/>
    <w:rsid w:val="0099434E"/>
    <w:rsid w:val="009950CF"/>
    <w:rsid w:val="00997446"/>
    <w:rsid w:val="00997A27"/>
    <w:rsid w:val="009A0F10"/>
    <w:rsid w:val="009A28D0"/>
    <w:rsid w:val="009A3EAE"/>
    <w:rsid w:val="009A418E"/>
    <w:rsid w:val="009A41E8"/>
    <w:rsid w:val="009A4801"/>
    <w:rsid w:val="009A498B"/>
    <w:rsid w:val="009A4BF3"/>
    <w:rsid w:val="009A50E4"/>
    <w:rsid w:val="009A523A"/>
    <w:rsid w:val="009A536A"/>
    <w:rsid w:val="009A5801"/>
    <w:rsid w:val="009A6FCF"/>
    <w:rsid w:val="009A7778"/>
    <w:rsid w:val="009B020A"/>
    <w:rsid w:val="009B2F77"/>
    <w:rsid w:val="009B3602"/>
    <w:rsid w:val="009B3BAA"/>
    <w:rsid w:val="009B5B49"/>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B3F"/>
    <w:rsid w:val="009E037F"/>
    <w:rsid w:val="009E0718"/>
    <w:rsid w:val="009E1007"/>
    <w:rsid w:val="009E11DA"/>
    <w:rsid w:val="009E18AD"/>
    <w:rsid w:val="009E1EBE"/>
    <w:rsid w:val="009E2156"/>
    <w:rsid w:val="009E25CE"/>
    <w:rsid w:val="009E2DFB"/>
    <w:rsid w:val="009E3139"/>
    <w:rsid w:val="009E31AF"/>
    <w:rsid w:val="009E4120"/>
    <w:rsid w:val="009E41DB"/>
    <w:rsid w:val="009E4425"/>
    <w:rsid w:val="009E488E"/>
    <w:rsid w:val="009E48B7"/>
    <w:rsid w:val="009E49E3"/>
    <w:rsid w:val="009E50F3"/>
    <w:rsid w:val="009E5914"/>
    <w:rsid w:val="009E5AAA"/>
    <w:rsid w:val="009E5CA4"/>
    <w:rsid w:val="009E5DA0"/>
    <w:rsid w:val="009E61B4"/>
    <w:rsid w:val="009E6E7E"/>
    <w:rsid w:val="009E72B3"/>
    <w:rsid w:val="009F0D9B"/>
    <w:rsid w:val="009F0DC1"/>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5680"/>
    <w:rsid w:val="00A0793B"/>
    <w:rsid w:val="00A11891"/>
    <w:rsid w:val="00A119D5"/>
    <w:rsid w:val="00A11B1D"/>
    <w:rsid w:val="00A120EB"/>
    <w:rsid w:val="00A12AF1"/>
    <w:rsid w:val="00A12C9A"/>
    <w:rsid w:val="00A13F42"/>
    <w:rsid w:val="00A14EFB"/>
    <w:rsid w:val="00A1528B"/>
    <w:rsid w:val="00A16199"/>
    <w:rsid w:val="00A16520"/>
    <w:rsid w:val="00A168C5"/>
    <w:rsid w:val="00A17999"/>
    <w:rsid w:val="00A17AA6"/>
    <w:rsid w:val="00A17BA4"/>
    <w:rsid w:val="00A17C84"/>
    <w:rsid w:val="00A20988"/>
    <w:rsid w:val="00A2190B"/>
    <w:rsid w:val="00A219D8"/>
    <w:rsid w:val="00A226E2"/>
    <w:rsid w:val="00A22DD2"/>
    <w:rsid w:val="00A22F99"/>
    <w:rsid w:val="00A2373F"/>
    <w:rsid w:val="00A24B31"/>
    <w:rsid w:val="00A25E39"/>
    <w:rsid w:val="00A26D12"/>
    <w:rsid w:val="00A27640"/>
    <w:rsid w:val="00A27C84"/>
    <w:rsid w:val="00A27EF5"/>
    <w:rsid w:val="00A30001"/>
    <w:rsid w:val="00A306DB"/>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516A"/>
    <w:rsid w:val="00A868DE"/>
    <w:rsid w:val="00A86E31"/>
    <w:rsid w:val="00A86F15"/>
    <w:rsid w:val="00A872A7"/>
    <w:rsid w:val="00A87808"/>
    <w:rsid w:val="00A908D0"/>
    <w:rsid w:val="00A91406"/>
    <w:rsid w:val="00A92223"/>
    <w:rsid w:val="00A92F45"/>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A7EEA"/>
    <w:rsid w:val="00AB1140"/>
    <w:rsid w:val="00AB2819"/>
    <w:rsid w:val="00AB2B43"/>
    <w:rsid w:val="00AB358E"/>
    <w:rsid w:val="00AB367D"/>
    <w:rsid w:val="00AB4540"/>
    <w:rsid w:val="00AB4719"/>
    <w:rsid w:val="00AB4B6A"/>
    <w:rsid w:val="00AB52F4"/>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65AD"/>
    <w:rsid w:val="00AC6D83"/>
    <w:rsid w:val="00AC788C"/>
    <w:rsid w:val="00AC7FFB"/>
    <w:rsid w:val="00AD0135"/>
    <w:rsid w:val="00AD14FC"/>
    <w:rsid w:val="00AD1D64"/>
    <w:rsid w:val="00AD2139"/>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E"/>
    <w:rsid w:val="00AE3E71"/>
    <w:rsid w:val="00AE410D"/>
    <w:rsid w:val="00AE4171"/>
    <w:rsid w:val="00AE45F6"/>
    <w:rsid w:val="00AE4968"/>
    <w:rsid w:val="00AE4A21"/>
    <w:rsid w:val="00AE4B92"/>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B42"/>
    <w:rsid w:val="00B03D7F"/>
    <w:rsid w:val="00B0402F"/>
    <w:rsid w:val="00B041CF"/>
    <w:rsid w:val="00B04C0F"/>
    <w:rsid w:val="00B04E3A"/>
    <w:rsid w:val="00B04FB1"/>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57B5"/>
    <w:rsid w:val="00B268BF"/>
    <w:rsid w:val="00B269A4"/>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232A"/>
    <w:rsid w:val="00B42817"/>
    <w:rsid w:val="00B43442"/>
    <w:rsid w:val="00B43F99"/>
    <w:rsid w:val="00B442D5"/>
    <w:rsid w:val="00B44F6C"/>
    <w:rsid w:val="00B4516C"/>
    <w:rsid w:val="00B45484"/>
    <w:rsid w:val="00B4594E"/>
    <w:rsid w:val="00B45E71"/>
    <w:rsid w:val="00B47B9C"/>
    <w:rsid w:val="00B47F5D"/>
    <w:rsid w:val="00B5114D"/>
    <w:rsid w:val="00B515D8"/>
    <w:rsid w:val="00B515F4"/>
    <w:rsid w:val="00B516C7"/>
    <w:rsid w:val="00B51CF6"/>
    <w:rsid w:val="00B52C06"/>
    <w:rsid w:val="00B541A0"/>
    <w:rsid w:val="00B56438"/>
    <w:rsid w:val="00B569D7"/>
    <w:rsid w:val="00B56A44"/>
    <w:rsid w:val="00B57704"/>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F28"/>
    <w:rsid w:val="00B736EA"/>
    <w:rsid w:val="00B73C17"/>
    <w:rsid w:val="00B74328"/>
    <w:rsid w:val="00B744F1"/>
    <w:rsid w:val="00B74BC5"/>
    <w:rsid w:val="00B75242"/>
    <w:rsid w:val="00B75F07"/>
    <w:rsid w:val="00B75F5D"/>
    <w:rsid w:val="00B76E14"/>
    <w:rsid w:val="00B776E6"/>
    <w:rsid w:val="00B779C4"/>
    <w:rsid w:val="00B77CAC"/>
    <w:rsid w:val="00B77D16"/>
    <w:rsid w:val="00B8088D"/>
    <w:rsid w:val="00B81B8A"/>
    <w:rsid w:val="00B81C2E"/>
    <w:rsid w:val="00B81E14"/>
    <w:rsid w:val="00B822A1"/>
    <w:rsid w:val="00B82745"/>
    <w:rsid w:val="00B82CCB"/>
    <w:rsid w:val="00B848F9"/>
    <w:rsid w:val="00B84B53"/>
    <w:rsid w:val="00B854AD"/>
    <w:rsid w:val="00B854E5"/>
    <w:rsid w:val="00B85BEE"/>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28EF"/>
    <w:rsid w:val="00BA3BAD"/>
    <w:rsid w:val="00BA4065"/>
    <w:rsid w:val="00BA425B"/>
    <w:rsid w:val="00BA4A7B"/>
    <w:rsid w:val="00BA6358"/>
    <w:rsid w:val="00BA674B"/>
    <w:rsid w:val="00BA6CF3"/>
    <w:rsid w:val="00BA6D32"/>
    <w:rsid w:val="00BA6FE7"/>
    <w:rsid w:val="00BA7510"/>
    <w:rsid w:val="00BA79D9"/>
    <w:rsid w:val="00BA7CD1"/>
    <w:rsid w:val="00BB08D8"/>
    <w:rsid w:val="00BB0BAC"/>
    <w:rsid w:val="00BB0FD7"/>
    <w:rsid w:val="00BB2BDC"/>
    <w:rsid w:val="00BB32A2"/>
    <w:rsid w:val="00BB407A"/>
    <w:rsid w:val="00BB4A9E"/>
    <w:rsid w:val="00BB58AF"/>
    <w:rsid w:val="00BB600E"/>
    <w:rsid w:val="00BB6B6F"/>
    <w:rsid w:val="00BB7CA6"/>
    <w:rsid w:val="00BC0C9C"/>
    <w:rsid w:val="00BC179C"/>
    <w:rsid w:val="00BC187D"/>
    <w:rsid w:val="00BC1A32"/>
    <w:rsid w:val="00BC34E2"/>
    <w:rsid w:val="00BC3C18"/>
    <w:rsid w:val="00BC3C52"/>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06EE"/>
    <w:rsid w:val="00BE220D"/>
    <w:rsid w:val="00BE2268"/>
    <w:rsid w:val="00BE25FE"/>
    <w:rsid w:val="00BE26DB"/>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7B07"/>
    <w:rsid w:val="00BF7B66"/>
    <w:rsid w:val="00C002ED"/>
    <w:rsid w:val="00C010DE"/>
    <w:rsid w:val="00C0234F"/>
    <w:rsid w:val="00C02C4A"/>
    <w:rsid w:val="00C031A9"/>
    <w:rsid w:val="00C03581"/>
    <w:rsid w:val="00C03EC5"/>
    <w:rsid w:val="00C04DCB"/>
    <w:rsid w:val="00C054B2"/>
    <w:rsid w:val="00C0560B"/>
    <w:rsid w:val="00C05D09"/>
    <w:rsid w:val="00C07036"/>
    <w:rsid w:val="00C07159"/>
    <w:rsid w:val="00C075CA"/>
    <w:rsid w:val="00C104FE"/>
    <w:rsid w:val="00C10660"/>
    <w:rsid w:val="00C1084D"/>
    <w:rsid w:val="00C10A0A"/>
    <w:rsid w:val="00C10DF0"/>
    <w:rsid w:val="00C11266"/>
    <w:rsid w:val="00C1130D"/>
    <w:rsid w:val="00C1358B"/>
    <w:rsid w:val="00C1451D"/>
    <w:rsid w:val="00C14780"/>
    <w:rsid w:val="00C15ABB"/>
    <w:rsid w:val="00C174C9"/>
    <w:rsid w:val="00C177EF"/>
    <w:rsid w:val="00C17C7C"/>
    <w:rsid w:val="00C201C3"/>
    <w:rsid w:val="00C2081A"/>
    <w:rsid w:val="00C208AD"/>
    <w:rsid w:val="00C21383"/>
    <w:rsid w:val="00C230C3"/>
    <w:rsid w:val="00C23E95"/>
    <w:rsid w:val="00C24D3A"/>
    <w:rsid w:val="00C2564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29D1"/>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56"/>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699C"/>
    <w:rsid w:val="00CA6A31"/>
    <w:rsid w:val="00CA7378"/>
    <w:rsid w:val="00CB09DC"/>
    <w:rsid w:val="00CB1E15"/>
    <w:rsid w:val="00CB441B"/>
    <w:rsid w:val="00CB471C"/>
    <w:rsid w:val="00CB4B08"/>
    <w:rsid w:val="00CB510E"/>
    <w:rsid w:val="00CB6202"/>
    <w:rsid w:val="00CB73F4"/>
    <w:rsid w:val="00CB7FF8"/>
    <w:rsid w:val="00CC298C"/>
    <w:rsid w:val="00CC2EE1"/>
    <w:rsid w:val="00CC311D"/>
    <w:rsid w:val="00CC3647"/>
    <w:rsid w:val="00CC3996"/>
    <w:rsid w:val="00CC3CA9"/>
    <w:rsid w:val="00CC43DE"/>
    <w:rsid w:val="00CC50BF"/>
    <w:rsid w:val="00CC6599"/>
    <w:rsid w:val="00CC6BB2"/>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7BD4"/>
    <w:rsid w:val="00CD7D6B"/>
    <w:rsid w:val="00CE1B4E"/>
    <w:rsid w:val="00CE1B72"/>
    <w:rsid w:val="00CE1EDD"/>
    <w:rsid w:val="00CE228A"/>
    <w:rsid w:val="00CE2D82"/>
    <w:rsid w:val="00CE5880"/>
    <w:rsid w:val="00CE5B07"/>
    <w:rsid w:val="00CE654A"/>
    <w:rsid w:val="00CE7433"/>
    <w:rsid w:val="00CE7FB0"/>
    <w:rsid w:val="00CF158E"/>
    <w:rsid w:val="00CF1732"/>
    <w:rsid w:val="00CF1B54"/>
    <w:rsid w:val="00CF338D"/>
    <w:rsid w:val="00CF3B6B"/>
    <w:rsid w:val="00CF3D27"/>
    <w:rsid w:val="00CF4A7D"/>
    <w:rsid w:val="00CF4BA0"/>
    <w:rsid w:val="00CF51B3"/>
    <w:rsid w:val="00CF52F3"/>
    <w:rsid w:val="00CF582C"/>
    <w:rsid w:val="00CF59A2"/>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2334"/>
    <w:rsid w:val="00D327BB"/>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C86"/>
    <w:rsid w:val="00D46C2D"/>
    <w:rsid w:val="00D47509"/>
    <w:rsid w:val="00D476F6"/>
    <w:rsid w:val="00D47840"/>
    <w:rsid w:val="00D50B20"/>
    <w:rsid w:val="00D5106F"/>
    <w:rsid w:val="00D518B2"/>
    <w:rsid w:val="00D51BEA"/>
    <w:rsid w:val="00D51D4A"/>
    <w:rsid w:val="00D52515"/>
    <w:rsid w:val="00D52705"/>
    <w:rsid w:val="00D52993"/>
    <w:rsid w:val="00D53422"/>
    <w:rsid w:val="00D53B4F"/>
    <w:rsid w:val="00D53FCD"/>
    <w:rsid w:val="00D54688"/>
    <w:rsid w:val="00D5503C"/>
    <w:rsid w:val="00D550F3"/>
    <w:rsid w:val="00D55221"/>
    <w:rsid w:val="00D55DD7"/>
    <w:rsid w:val="00D5622B"/>
    <w:rsid w:val="00D566B3"/>
    <w:rsid w:val="00D56736"/>
    <w:rsid w:val="00D56E7F"/>
    <w:rsid w:val="00D56FF7"/>
    <w:rsid w:val="00D57A18"/>
    <w:rsid w:val="00D60C5A"/>
    <w:rsid w:val="00D60EC2"/>
    <w:rsid w:val="00D614EC"/>
    <w:rsid w:val="00D61892"/>
    <w:rsid w:val="00D62199"/>
    <w:rsid w:val="00D6227C"/>
    <w:rsid w:val="00D639EA"/>
    <w:rsid w:val="00D63AAD"/>
    <w:rsid w:val="00D64E40"/>
    <w:rsid w:val="00D66284"/>
    <w:rsid w:val="00D66ACF"/>
    <w:rsid w:val="00D66AEB"/>
    <w:rsid w:val="00D67C70"/>
    <w:rsid w:val="00D700D5"/>
    <w:rsid w:val="00D70279"/>
    <w:rsid w:val="00D709F7"/>
    <w:rsid w:val="00D70DA7"/>
    <w:rsid w:val="00D714A5"/>
    <w:rsid w:val="00D7279E"/>
    <w:rsid w:val="00D73548"/>
    <w:rsid w:val="00D73849"/>
    <w:rsid w:val="00D739F2"/>
    <w:rsid w:val="00D73EA7"/>
    <w:rsid w:val="00D73F3B"/>
    <w:rsid w:val="00D7410E"/>
    <w:rsid w:val="00D7468D"/>
    <w:rsid w:val="00D74E39"/>
    <w:rsid w:val="00D75387"/>
    <w:rsid w:val="00D762DF"/>
    <w:rsid w:val="00D77774"/>
    <w:rsid w:val="00D77941"/>
    <w:rsid w:val="00D77B62"/>
    <w:rsid w:val="00D77B8F"/>
    <w:rsid w:val="00D80551"/>
    <w:rsid w:val="00D80F40"/>
    <w:rsid w:val="00D81612"/>
    <w:rsid w:val="00D818D4"/>
    <w:rsid w:val="00D81D51"/>
    <w:rsid w:val="00D82F31"/>
    <w:rsid w:val="00D8323F"/>
    <w:rsid w:val="00D83C2C"/>
    <w:rsid w:val="00D851EB"/>
    <w:rsid w:val="00D856D3"/>
    <w:rsid w:val="00D86217"/>
    <w:rsid w:val="00D8654D"/>
    <w:rsid w:val="00D86666"/>
    <w:rsid w:val="00D86FE9"/>
    <w:rsid w:val="00D8799F"/>
    <w:rsid w:val="00D87AAD"/>
    <w:rsid w:val="00D90056"/>
    <w:rsid w:val="00D90B98"/>
    <w:rsid w:val="00D90F52"/>
    <w:rsid w:val="00D91777"/>
    <w:rsid w:val="00D91AE0"/>
    <w:rsid w:val="00D9216D"/>
    <w:rsid w:val="00D92402"/>
    <w:rsid w:val="00D9244F"/>
    <w:rsid w:val="00D92984"/>
    <w:rsid w:val="00D936A3"/>
    <w:rsid w:val="00D93948"/>
    <w:rsid w:val="00D93AA7"/>
    <w:rsid w:val="00D943D6"/>
    <w:rsid w:val="00D9479B"/>
    <w:rsid w:val="00D94F5E"/>
    <w:rsid w:val="00D9529F"/>
    <w:rsid w:val="00D9549C"/>
    <w:rsid w:val="00D956F0"/>
    <w:rsid w:val="00D963BF"/>
    <w:rsid w:val="00D965C6"/>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E6F"/>
    <w:rsid w:val="00DC7810"/>
    <w:rsid w:val="00DD1A4A"/>
    <w:rsid w:val="00DD1C46"/>
    <w:rsid w:val="00DD1F8F"/>
    <w:rsid w:val="00DD2CDD"/>
    <w:rsid w:val="00DD3001"/>
    <w:rsid w:val="00DD52B1"/>
    <w:rsid w:val="00DD6602"/>
    <w:rsid w:val="00DD685B"/>
    <w:rsid w:val="00DD7D16"/>
    <w:rsid w:val="00DD7E60"/>
    <w:rsid w:val="00DE0266"/>
    <w:rsid w:val="00DE212A"/>
    <w:rsid w:val="00DE267B"/>
    <w:rsid w:val="00DE2818"/>
    <w:rsid w:val="00DE32B4"/>
    <w:rsid w:val="00DE376A"/>
    <w:rsid w:val="00DE3B3F"/>
    <w:rsid w:val="00DE3D1D"/>
    <w:rsid w:val="00DE5146"/>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8CD"/>
    <w:rsid w:val="00E06A32"/>
    <w:rsid w:val="00E06B22"/>
    <w:rsid w:val="00E07D5A"/>
    <w:rsid w:val="00E107ED"/>
    <w:rsid w:val="00E110EA"/>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5049E"/>
    <w:rsid w:val="00E515C7"/>
    <w:rsid w:val="00E53CF4"/>
    <w:rsid w:val="00E53EF8"/>
    <w:rsid w:val="00E54FB7"/>
    <w:rsid w:val="00E55111"/>
    <w:rsid w:val="00E56312"/>
    <w:rsid w:val="00E56B92"/>
    <w:rsid w:val="00E56E28"/>
    <w:rsid w:val="00E60391"/>
    <w:rsid w:val="00E60806"/>
    <w:rsid w:val="00E6323B"/>
    <w:rsid w:val="00E63B16"/>
    <w:rsid w:val="00E64DEC"/>
    <w:rsid w:val="00E65288"/>
    <w:rsid w:val="00E6647B"/>
    <w:rsid w:val="00E67593"/>
    <w:rsid w:val="00E6793A"/>
    <w:rsid w:val="00E71187"/>
    <w:rsid w:val="00E716DD"/>
    <w:rsid w:val="00E71D2C"/>
    <w:rsid w:val="00E73EB4"/>
    <w:rsid w:val="00E744C7"/>
    <w:rsid w:val="00E76683"/>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AE4"/>
    <w:rsid w:val="00E93FD4"/>
    <w:rsid w:val="00E949C1"/>
    <w:rsid w:val="00E94A80"/>
    <w:rsid w:val="00E958B2"/>
    <w:rsid w:val="00E95BB4"/>
    <w:rsid w:val="00E95C55"/>
    <w:rsid w:val="00E95D8A"/>
    <w:rsid w:val="00E96709"/>
    <w:rsid w:val="00E97FF4"/>
    <w:rsid w:val="00EA03BA"/>
    <w:rsid w:val="00EA0CAD"/>
    <w:rsid w:val="00EA10B2"/>
    <w:rsid w:val="00EA1942"/>
    <w:rsid w:val="00EA1A3E"/>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418"/>
    <w:rsid w:val="00ED19DB"/>
    <w:rsid w:val="00ED29E1"/>
    <w:rsid w:val="00ED43FC"/>
    <w:rsid w:val="00ED507A"/>
    <w:rsid w:val="00ED52C3"/>
    <w:rsid w:val="00ED6747"/>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957"/>
    <w:rsid w:val="00EF4597"/>
    <w:rsid w:val="00EF5501"/>
    <w:rsid w:val="00EF5CDD"/>
    <w:rsid w:val="00EF5D27"/>
    <w:rsid w:val="00EF64DB"/>
    <w:rsid w:val="00EF650A"/>
    <w:rsid w:val="00F000F0"/>
    <w:rsid w:val="00F0248A"/>
    <w:rsid w:val="00F03236"/>
    <w:rsid w:val="00F03AB0"/>
    <w:rsid w:val="00F04E4D"/>
    <w:rsid w:val="00F05A60"/>
    <w:rsid w:val="00F069A7"/>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1D8A"/>
    <w:rsid w:val="00F22398"/>
    <w:rsid w:val="00F223C1"/>
    <w:rsid w:val="00F2270B"/>
    <w:rsid w:val="00F22D55"/>
    <w:rsid w:val="00F2379B"/>
    <w:rsid w:val="00F259F0"/>
    <w:rsid w:val="00F26350"/>
    <w:rsid w:val="00F2744C"/>
    <w:rsid w:val="00F27C69"/>
    <w:rsid w:val="00F301D2"/>
    <w:rsid w:val="00F303B9"/>
    <w:rsid w:val="00F320FC"/>
    <w:rsid w:val="00F33045"/>
    <w:rsid w:val="00F33D25"/>
    <w:rsid w:val="00F33E4B"/>
    <w:rsid w:val="00F344E2"/>
    <w:rsid w:val="00F3474A"/>
    <w:rsid w:val="00F359E0"/>
    <w:rsid w:val="00F35B28"/>
    <w:rsid w:val="00F35C58"/>
    <w:rsid w:val="00F36554"/>
    <w:rsid w:val="00F370B3"/>
    <w:rsid w:val="00F41304"/>
    <w:rsid w:val="00F4137D"/>
    <w:rsid w:val="00F41416"/>
    <w:rsid w:val="00F418D4"/>
    <w:rsid w:val="00F42848"/>
    <w:rsid w:val="00F42E45"/>
    <w:rsid w:val="00F44893"/>
    <w:rsid w:val="00F44BF8"/>
    <w:rsid w:val="00F453BB"/>
    <w:rsid w:val="00F46124"/>
    <w:rsid w:val="00F47060"/>
    <w:rsid w:val="00F4759B"/>
    <w:rsid w:val="00F50892"/>
    <w:rsid w:val="00F50DBF"/>
    <w:rsid w:val="00F50EFF"/>
    <w:rsid w:val="00F5190C"/>
    <w:rsid w:val="00F5215C"/>
    <w:rsid w:val="00F526B4"/>
    <w:rsid w:val="00F5427A"/>
    <w:rsid w:val="00F54BB3"/>
    <w:rsid w:val="00F5612F"/>
    <w:rsid w:val="00F56874"/>
    <w:rsid w:val="00F569C6"/>
    <w:rsid w:val="00F600F1"/>
    <w:rsid w:val="00F6076D"/>
    <w:rsid w:val="00F612CA"/>
    <w:rsid w:val="00F6165C"/>
    <w:rsid w:val="00F61B21"/>
    <w:rsid w:val="00F61C60"/>
    <w:rsid w:val="00F636ED"/>
    <w:rsid w:val="00F63D80"/>
    <w:rsid w:val="00F643EB"/>
    <w:rsid w:val="00F64885"/>
    <w:rsid w:val="00F649AE"/>
    <w:rsid w:val="00F652B2"/>
    <w:rsid w:val="00F65584"/>
    <w:rsid w:val="00F655BE"/>
    <w:rsid w:val="00F65F75"/>
    <w:rsid w:val="00F660F6"/>
    <w:rsid w:val="00F673B1"/>
    <w:rsid w:val="00F7034A"/>
    <w:rsid w:val="00F71440"/>
    <w:rsid w:val="00F72B6E"/>
    <w:rsid w:val="00F732F0"/>
    <w:rsid w:val="00F74820"/>
    <w:rsid w:val="00F75436"/>
    <w:rsid w:val="00F761CC"/>
    <w:rsid w:val="00F7689C"/>
    <w:rsid w:val="00F76AC5"/>
    <w:rsid w:val="00F76E04"/>
    <w:rsid w:val="00F76E3C"/>
    <w:rsid w:val="00F770ED"/>
    <w:rsid w:val="00F80261"/>
    <w:rsid w:val="00F80EA3"/>
    <w:rsid w:val="00F81501"/>
    <w:rsid w:val="00F824C9"/>
    <w:rsid w:val="00F831EC"/>
    <w:rsid w:val="00F83730"/>
    <w:rsid w:val="00F84478"/>
    <w:rsid w:val="00F855C2"/>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54"/>
    <w:rsid w:val="00FA26DF"/>
    <w:rsid w:val="00FA2DFE"/>
    <w:rsid w:val="00FA37E2"/>
    <w:rsid w:val="00FA45D8"/>
    <w:rsid w:val="00FA481A"/>
    <w:rsid w:val="00FA624A"/>
    <w:rsid w:val="00FA730C"/>
    <w:rsid w:val="00FA7614"/>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5F2F"/>
    <w:rsid w:val="00FC680C"/>
    <w:rsid w:val="00FC707A"/>
    <w:rsid w:val="00FC76B9"/>
    <w:rsid w:val="00FD0B17"/>
    <w:rsid w:val="00FD1435"/>
    <w:rsid w:val="00FD1A63"/>
    <w:rsid w:val="00FD3097"/>
    <w:rsid w:val="00FD3DD4"/>
    <w:rsid w:val="00FD5FDF"/>
    <w:rsid w:val="00FD6428"/>
    <w:rsid w:val="00FD7FA7"/>
    <w:rsid w:val="00FE08E3"/>
    <w:rsid w:val="00FE08FD"/>
    <w:rsid w:val="00FE09FD"/>
    <w:rsid w:val="00FE148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BC4A5E7-4D5D-4F2E-ACF7-39EB7B7F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E9A"/>
    <w:rPr>
      <w:rFonts w:ascii="Times New Roman" w:eastAsia="Times New Roman" w:hAnsi="Times New Roman"/>
      <w:sz w:val="28"/>
      <w:szCs w:val="28"/>
      <w:lang w:val="en-US"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val="x-none"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val="x-none"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val="x-none"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val="nl-NL"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093E9A"/>
    <w:rPr>
      <w:rFonts w:eastAsia="Calibri"/>
      <w:szCs w:val="2"/>
      <w:lang w:val="x-none" w:eastAsia="x-none"/>
    </w:rPr>
  </w:style>
  <w:style w:type="character" w:customStyle="1" w:styleId="BalloonTextChar">
    <w:name w:val="Balloon Text Char"/>
    <w:link w:val="BalloonText"/>
    <w:uiPriority w:val="99"/>
    <w:semiHidden/>
    <w:locked/>
    <w:rsid w:val="00093E9A"/>
    <w:rPr>
      <w:rFonts w:ascii="Times New Roman" w:hAnsi="Times New Roman"/>
      <w:sz w:val="28"/>
      <w:szCs w:val="2"/>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val="x-none"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qFormat/>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val="x-none"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val="x-none"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093E9A"/>
    <w:rPr>
      <w:szCs w:val="20"/>
      <w:lang w:val="vi-VN"/>
    </w:rPr>
  </w:style>
  <w:style w:type="character" w:customStyle="1" w:styleId="CommentTextChar">
    <w:name w:val="Comment Text Char"/>
    <w:basedOn w:val="DefaultParagraphFont"/>
    <w:link w:val="CommentText"/>
    <w:uiPriority w:val="99"/>
    <w:rsid w:val="00093E9A"/>
    <w:rPr>
      <w:rFonts w:ascii="Times New Roman" w:eastAsia="Times New Roman" w:hAnsi="Times New Roman"/>
      <w:sz w:val="28"/>
      <w:lang w:val="vi-V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US"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lang w:val="en-U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sz w:val="28"/>
      <w:lang w:val="en-US" w:eastAsia="en-US"/>
    </w:rPr>
  </w:style>
  <w:style w:type="paragraph" w:styleId="Revision">
    <w:name w:val="Revision"/>
    <w:hidden/>
    <w:uiPriority w:val="99"/>
    <w:semiHidden/>
    <w:rsid w:val="00EC2B6C"/>
    <w:rPr>
      <w:rFonts w:ascii="Times New Roman" w:eastAsia="Times New Roman" w:hAnsi="Times New Roman"/>
      <w:sz w:val="28"/>
      <w:szCs w:val="28"/>
      <w:lang w:val="en-US"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00347869">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60215158">
      <w:bodyDiv w:val="1"/>
      <w:marLeft w:val="0"/>
      <w:marRight w:val="0"/>
      <w:marTop w:val="0"/>
      <w:marBottom w:val="0"/>
      <w:divBdr>
        <w:top w:val="none" w:sz="0" w:space="0" w:color="auto"/>
        <w:left w:val="none" w:sz="0" w:space="0" w:color="auto"/>
        <w:bottom w:val="none" w:sz="0" w:space="0" w:color="auto"/>
        <w:right w:val="none" w:sz="0" w:space="0" w:color="auto"/>
      </w:divBdr>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601184680">
      <w:bodyDiv w:val="1"/>
      <w:marLeft w:val="0"/>
      <w:marRight w:val="0"/>
      <w:marTop w:val="0"/>
      <w:marBottom w:val="0"/>
      <w:divBdr>
        <w:top w:val="none" w:sz="0" w:space="0" w:color="auto"/>
        <w:left w:val="none" w:sz="0" w:space="0" w:color="auto"/>
        <w:bottom w:val="none" w:sz="0" w:space="0" w:color="auto"/>
        <w:right w:val="none" w:sz="0" w:space="0" w:color="auto"/>
      </w:divBdr>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723939753">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9.sv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7.xm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1.w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agromonitor.vn/category/48/ca-tr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5%202023\T5%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5%202023\T5%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Ph&#432;&#7907;ng%202024\B&#225;o%20c&#225;o%20th&#225;ng\T2%202024\bi&#7875;u%20&#273;&#7891;%20FDI%20T2%20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tphuong\Desktop\Ph&#432;&#7907;ng%202024\B&#225;o%20c&#225;o%20th&#225;ng\T2%202024\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42.9.250\tkth02\01%20Bao%20cao%20thang\2024\Th&#225;ng%2002\Chuy&#234;n%20vi&#234;n\&#272;&#244;&#768;%20thi&#803;%20t&#244;&#777;ng%20m&#432;&#769;c%20T2.2024.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02.2024\V&#7909;%20TH\Bi&#7875;u%20&#273;&#7891;%20XNK%20T2.2024.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4\Th&#225;ng%2002.2024\V&#7909;%20TH\Bi&#7875;u%20&#273;&#7891;%20XNK%20T2.2024.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ocuments\Zalo%20Received%20Files\Bi&#7875;u%20&#273;&#7891;%20CPI_%20Ng&#226;n%20c&#7853;p%20nh&#7853;t%2025.1.202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87556937941989E-2"/>
          <c:y val="0.12638473894456206"/>
          <c:w val="0.86339625186096713"/>
          <c:h val="0.59800859230927683"/>
        </c:manualLayout>
      </c:layout>
      <c:barChart>
        <c:barDir val="col"/>
        <c:grouping val="clustered"/>
        <c:varyColors val="0"/>
        <c:ser>
          <c:idx val="0"/>
          <c:order val="0"/>
          <c:tx>
            <c:strRef>
              <c:f>'Hình 6. Bộ ngành'!$C$4</c:f>
              <c:strCache>
                <c:ptCount val="1"/>
                <c:pt idx="0">
                  <c:v>2 tháng đầu năm 2023</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Giáo dục và Đào tạo</c:v>
                </c:pt>
                <c:pt idx="3">
                  <c:v>Bộ Văn hóa, Thể thao và Du lịch</c:v>
                </c:pt>
                <c:pt idx="4">
                  <c:v>Bộ Công Thương</c:v>
                </c:pt>
                <c:pt idx="5">
                  <c:v>Bộ Y tế</c:v>
                </c:pt>
                <c:pt idx="6">
                  <c:v>Bộ Tài nguyên và Môi trường</c:v>
                </c:pt>
                <c:pt idx="7">
                  <c:v>Bộ Xây dựng</c:v>
                </c:pt>
                <c:pt idx="8">
                  <c:v>Bộ Thông tin và Truyền thông</c:v>
                </c:pt>
                <c:pt idx="9">
                  <c:v>Bộ Khoa học và Công nghệ</c:v>
                </c:pt>
              </c:strCache>
            </c:strRef>
          </c:cat>
          <c:val>
            <c:numRef>
              <c:f>'Hình 6. Bộ ngành'!$C$5:$C$14</c:f>
              <c:numCache>
                <c:formatCode>0.0</c:formatCode>
                <c:ptCount val="10"/>
                <c:pt idx="0">
                  <c:v>7826.86</c:v>
                </c:pt>
                <c:pt idx="1">
                  <c:v>625.13</c:v>
                </c:pt>
                <c:pt idx="2">
                  <c:v>97.929999999999993</c:v>
                </c:pt>
                <c:pt idx="3">
                  <c:v>103.44999999999999</c:v>
                </c:pt>
                <c:pt idx="4">
                  <c:v>60.010000000000005</c:v>
                </c:pt>
                <c:pt idx="5">
                  <c:v>86.43</c:v>
                </c:pt>
                <c:pt idx="6">
                  <c:v>73.42</c:v>
                </c:pt>
                <c:pt idx="7">
                  <c:v>43.08</c:v>
                </c:pt>
                <c:pt idx="8">
                  <c:v>27.340000000000003</c:v>
                </c:pt>
                <c:pt idx="9">
                  <c:v>19.36</c:v>
                </c:pt>
              </c:numCache>
            </c:numRef>
          </c:val>
          <c:extLst>
            <c:ext xmlns:c16="http://schemas.microsoft.com/office/drawing/2014/chart" uri="{C3380CC4-5D6E-409C-BE32-E72D297353CC}">
              <c16:uniqueId val="{00000000-2DD2-43F9-BFBC-ED02073435F6}"/>
            </c:ext>
          </c:extLst>
        </c:ser>
        <c:ser>
          <c:idx val="1"/>
          <c:order val="1"/>
          <c:tx>
            <c:strRef>
              <c:f>'Hình 6. Bộ ngành'!$D$4</c:f>
              <c:strCache>
                <c:ptCount val="1"/>
                <c:pt idx="0">
                  <c:v>2 tháng đầu năm 2024</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2-43F9-BFBC-ED02073435F6}"/>
                </c:ext>
              </c:extLst>
            </c:dLbl>
            <c:dLbl>
              <c:idx val="5"/>
              <c:layout>
                <c:manualLayout>
                  <c:x val="6.095237363901029E-3"/>
                  <c:y val="2.462295852408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D2-43F9-BFBC-ED02073435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Giáo dục và Đào tạo</c:v>
                </c:pt>
                <c:pt idx="3">
                  <c:v>Bộ Văn hóa, Thể thao và Du lịch</c:v>
                </c:pt>
                <c:pt idx="4">
                  <c:v>Bộ Công Thương</c:v>
                </c:pt>
                <c:pt idx="5">
                  <c:v>Bộ Y tế</c:v>
                </c:pt>
                <c:pt idx="6">
                  <c:v>Bộ Tài nguyên và Môi trường</c:v>
                </c:pt>
                <c:pt idx="7">
                  <c:v>Bộ Xây dựng</c:v>
                </c:pt>
                <c:pt idx="8">
                  <c:v>Bộ Thông tin và Truyền thông</c:v>
                </c:pt>
                <c:pt idx="9">
                  <c:v>Bộ Khoa học và Công nghệ</c:v>
                </c:pt>
              </c:strCache>
            </c:strRef>
          </c:cat>
          <c:val>
            <c:numRef>
              <c:f>'Hình 6. Bộ ngành'!$D$5:$D$14</c:f>
              <c:numCache>
                <c:formatCode>0.0</c:formatCode>
                <c:ptCount val="10"/>
                <c:pt idx="0">
                  <c:v>6187.25</c:v>
                </c:pt>
                <c:pt idx="1">
                  <c:v>611.86</c:v>
                </c:pt>
                <c:pt idx="2">
                  <c:v>81.449999999999989</c:v>
                </c:pt>
                <c:pt idx="3">
                  <c:v>72.16</c:v>
                </c:pt>
                <c:pt idx="4">
                  <c:v>68.150000000000006</c:v>
                </c:pt>
                <c:pt idx="5">
                  <c:v>60.58</c:v>
                </c:pt>
                <c:pt idx="6">
                  <c:v>54.16</c:v>
                </c:pt>
                <c:pt idx="7">
                  <c:v>32.940000000000005</c:v>
                </c:pt>
                <c:pt idx="8">
                  <c:v>26.97</c:v>
                </c:pt>
                <c:pt idx="9">
                  <c:v>18.48</c:v>
                </c:pt>
              </c:numCache>
            </c:numRef>
          </c:val>
          <c:extLst>
            <c:ext xmlns:c16="http://schemas.microsoft.com/office/drawing/2014/chart" uri="{C3380CC4-5D6E-409C-BE32-E72D297353CC}">
              <c16:uniqueId val="{00000003-2DD2-43F9-BFBC-ED02073435F6}"/>
            </c:ext>
          </c:extLst>
        </c:ser>
        <c:dLbls>
          <c:showLegendKey val="0"/>
          <c:showVal val="0"/>
          <c:showCatName val="0"/>
          <c:showSerName val="0"/>
          <c:showPercent val="0"/>
          <c:showBubbleSize val="0"/>
        </c:dLbls>
        <c:gapWidth val="36"/>
        <c:axId val="1359413680"/>
        <c:axId val="1359420208"/>
      </c:barChart>
      <c:catAx>
        <c:axId val="135941368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9420208"/>
        <c:crosses val="autoZero"/>
        <c:auto val="1"/>
        <c:lblAlgn val="ctr"/>
        <c:lblOffset val="100"/>
        <c:noMultiLvlLbl val="0"/>
      </c:catAx>
      <c:valAx>
        <c:axId val="13594202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59413680"/>
        <c:crosses val="autoZero"/>
        <c:crossBetween val="between"/>
      </c:valAx>
      <c:spPr>
        <a:noFill/>
        <a:ln>
          <a:noFill/>
        </a:ln>
        <a:effectLst/>
      </c:spPr>
    </c:plotArea>
    <c:legend>
      <c:legendPos val="b"/>
      <c:layout>
        <c:manualLayout>
          <c:xMode val="edge"/>
          <c:yMode val="edge"/>
          <c:x val="9.7450726965042131E-2"/>
          <c:y val="0.8813181154401847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2 tháng đầu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Bà Rịa - Vũng Tàu</c:v>
                </c:pt>
                <c:pt idx="3">
                  <c:v>Bình Dương</c:v>
                </c:pt>
                <c:pt idx="4">
                  <c:v>Hưng Yên</c:v>
                </c:pt>
                <c:pt idx="5">
                  <c:v>Quảng Ninh</c:v>
                </c:pt>
                <c:pt idx="6">
                  <c:v>Hải Phòng</c:v>
                </c:pt>
                <c:pt idx="7">
                  <c:v>Đồng Nai</c:v>
                </c:pt>
                <c:pt idx="8">
                  <c:v>Thanh Hóa</c:v>
                </c:pt>
              </c:strCache>
            </c:strRef>
          </c:cat>
          <c:val>
            <c:numRef>
              <c:f>'Hình 7. Địa phương'!$D$5:$D$13</c:f>
              <c:numCache>
                <c:formatCode>0.0</c:formatCode>
                <c:ptCount val="9"/>
                <c:pt idx="0">
                  <c:v>5042.66</c:v>
                </c:pt>
                <c:pt idx="1">
                  <c:v>2838.768</c:v>
                </c:pt>
                <c:pt idx="2">
                  <c:v>2077.2478099999998</c:v>
                </c:pt>
                <c:pt idx="3">
                  <c:v>1882.54</c:v>
                </c:pt>
                <c:pt idx="4">
                  <c:v>1487.9110000000001</c:v>
                </c:pt>
                <c:pt idx="5">
                  <c:v>1512.82</c:v>
                </c:pt>
                <c:pt idx="6">
                  <c:v>1278.615</c:v>
                </c:pt>
                <c:pt idx="7">
                  <c:v>1123.595</c:v>
                </c:pt>
                <c:pt idx="8">
                  <c:v>1096.7280000000001</c:v>
                </c:pt>
              </c:numCache>
            </c:numRef>
          </c:val>
          <c:extLst>
            <c:ext xmlns:c16="http://schemas.microsoft.com/office/drawing/2014/chart" uri="{C3380CC4-5D6E-409C-BE32-E72D297353CC}">
              <c16:uniqueId val="{00000000-34CE-487D-9E76-98CD8185603D}"/>
            </c:ext>
          </c:extLst>
        </c:ser>
        <c:ser>
          <c:idx val="1"/>
          <c:order val="1"/>
          <c:tx>
            <c:strRef>
              <c:f>'Hình 7. Địa phương'!$E$4</c:f>
              <c:strCache>
                <c:ptCount val="1"/>
                <c:pt idx="0">
                  <c:v>2 tháng đầu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CE-487D-9E76-98CD8185603D}"/>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Bà Rịa - Vũng Tàu</c:v>
                </c:pt>
                <c:pt idx="3">
                  <c:v>Bình Dương</c:v>
                </c:pt>
                <c:pt idx="4">
                  <c:v>Hưng Yên</c:v>
                </c:pt>
                <c:pt idx="5">
                  <c:v>Quảng Ninh</c:v>
                </c:pt>
                <c:pt idx="6">
                  <c:v>Hải Phòng</c:v>
                </c:pt>
                <c:pt idx="7">
                  <c:v>Đồng Nai</c:v>
                </c:pt>
                <c:pt idx="8">
                  <c:v>Thanh Hóa</c:v>
                </c:pt>
              </c:strCache>
            </c:strRef>
          </c:cat>
          <c:val>
            <c:numRef>
              <c:f>'Hình 7. Địa phương'!$E$5:$E$13</c:f>
              <c:numCache>
                <c:formatCode>0.0</c:formatCode>
                <c:ptCount val="9"/>
                <c:pt idx="0">
                  <c:v>6340.9179999999997</c:v>
                </c:pt>
                <c:pt idx="1">
                  <c:v>3057.7669999999998</c:v>
                </c:pt>
                <c:pt idx="2">
                  <c:v>2409.1190000000001</c:v>
                </c:pt>
                <c:pt idx="3">
                  <c:v>2021.9680000000001</c:v>
                </c:pt>
                <c:pt idx="4">
                  <c:v>1969.635</c:v>
                </c:pt>
                <c:pt idx="5">
                  <c:v>1641.846</c:v>
                </c:pt>
                <c:pt idx="6">
                  <c:v>1378.2449999999999</c:v>
                </c:pt>
                <c:pt idx="7">
                  <c:v>1270.211</c:v>
                </c:pt>
                <c:pt idx="8">
                  <c:v>1183.5329999999999</c:v>
                </c:pt>
              </c:numCache>
            </c:numRef>
          </c:val>
          <c:extLst>
            <c:ext xmlns:c16="http://schemas.microsoft.com/office/drawing/2014/chart" uri="{C3380CC4-5D6E-409C-BE32-E72D297353CC}">
              <c16:uniqueId val="{00000002-34CE-487D-9E76-98CD8185603D}"/>
            </c:ext>
          </c:extLst>
        </c:ser>
        <c:dLbls>
          <c:showLegendKey val="0"/>
          <c:showVal val="0"/>
          <c:showCatName val="0"/>
          <c:showSerName val="0"/>
          <c:showPercent val="0"/>
          <c:showBubbleSize val="0"/>
        </c:dLbls>
        <c:gapWidth val="36"/>
        <c:axId val="1359416944"/>
        <c:axId val="1359409328"/>
      </c:barChart>
      <c:catAx>
        <c:axId val="135941694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9409328"/>
        <c:crosses val="autoZero"/>
        <c:auto val="1"/>
        <c:lblAlgn val="ctr"/>
        <c:lblOffset val="100"/>
        <c:noMultiLvlLbl val="0"/>
      </c:catAx>
      <c:valAx>
        <c:axId val="13594093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59416944"/>
        <c:crosses val="autoZero"/>
        <c:crossBetween val="between"/>
      </c:valAx>
      <c:spPr>
        <a:noFill/>
        <a:ln>
          <a:noFill/>
        </a:ln>
        <a:effectLst/>
      </c:spPr>
    </c:plotArea>
    <c:legend>
      <c:legendPos val="b"/>
      <c:layout>
        <c:manualLayout>
          <c:xMode val="edge"/>
          <c:yMode val="edge"/>
          <c:x val="9.8974536306017394E-2"/>
          <c:y val="0.91395635098962491"/>
          <c:w val="0.79532792856957735"/>
          <c:h val="5.621304781071100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solidFill>
              <a:schemeClr val="accent1">
                <a:lumMod val="40000"/>
                <a:lumOff val="60000"/>
              </a:schemeClr>
            </a:solidFill>
          </c:spPr>
          <c:invertIfNegative val="0"/>
          <c:dLbls>
            <c:dLbl>
              <c:idx val="2"/>
              <c:tx>
                <c:rich>
                  <a:bodyPr/>
                  <a:lstStyle/>
                  <a:p>
                    <a:r>
                      <a:rPr lang="en-US"/>
                      <a:t>0.63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ED2-424F-A65C-F96CF13516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5.0036916560000009</c:v>
                </c:pt>
                <c:pt idx="1">
                  <c:v>3.30866813</c:v>
                </c:pt>
                <c:pt idx="2">
                  <c:v>0.63176240644999992</c:v>
                </c:pt>
                <c:pt idx="3">
                  <c:v>1.76414061691</c:v>
                </c:pt>
                <c:pt idx="4">
                  <c:v>3.5959377820000009</c:v>
                </c:pt>
              </c:numCache>
            </c:numRef>
          </c:val>
          <c:extLst>
            <c:ext xmlns:c16="http://schemas.microsoft.com/office/drawing/2014/chart" uri="{C3380CC4-5D6E-409C-BE32-E72D297353CC}">
              <c16:uniqueId val="{00000001-3ED2-424F-A65C-F96CF1351685}"/>
            </c:ext>
          </c:extLst>
        </c:ser>
        <c:ser>
          <c:idx val="1"/>
          <c:order val="1"/>
          <c:tx>
            <c:strRef>
              <c:f>'04. FDI SO SANH '!$A$17</c:f>
              <c:strCache>
                <c:ptCount val="1"/>
                <c:pt idx="0">
                  <c:v>    Đăng ký điều chỉnh</c:v>
                </c:pt>
              </c:strCache>
            </c:strRef>
          </c:tx>
          <c:invertIfNegative val="0"/>
          <c:dLbls>
            <c:dLbl>
              <c:idx val="0"/>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ED2-424F-A65C-F96CF1351685}"/>
                </c:ext>
              </c:extLst>
            </c:dLbl>
            <c:dLbl>
              <c:idx val="1"/>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ED2-424F-A65C-F96CF1351685}"/>
                </c:ext>
              </c:extLst>
            </c:dLbl>
            <c:dLbl>
              <c:idx val="2"/>
              <c:tx>
                <c:rich>
                  <a:bodyPr wrap="square" lIns="38100" tIns="19050" rIns="38100" bIns="19050" anchor="ctr">
                    <a:noAutofit/>
                  </a:bodyPr>
                  <a:lstStyle/>
                  <a:p>
                    <a:pPr>
                      <a:defRPr/>
                    </a:pPr>
                    <a:r>
                      <a:rPr lang="en-US"/>
                      <a:t>3.59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4-3ED2-424F-A65C-F96CF1351685}"/>
                </c:ext>
              </c:extLst>
            </c:dLbl>
            <c:dLbl>
              <c:idx val="3"/>
              <c:layout>
                <c:manualLayout>
                  <c:x val="7.207205843852202E-3"/>
                  <c:y val="0"/>
                </c:manualLayout>
              </c:layout>
              <c:tx>
                <c:rich>
                  <a:bodyPr/>
                  <a:lstStyle/>
                  <a:p>
                    <a:r>
                      <a:rPr lang="en-US"/>
                      <a:t>0.54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ED2-424F-A65C-F96CF1351685}"/>
                </c:ext>
              </c:extLst>
            </c:dLbl>
            <c:dLbl>
              <c:idx val="4"/>
              <c:tx>
                <c:rich>
                  <a:bodyPr/>
                  <a:lstStyle/>
                  <a:p>
                    <a:r>
                      <a:rPr lang="en-US"/>
                      <a:t>0.44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ED2-424F-A65C-F96CF13516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0.63806011900000004</c:v>
                </c:pt>
                <c:pt idx="1">
                  <c:v>1.6064025292812498</c:v>
                </c:pt>
                <c:pt idx="2">
                  <c:v>3.5944651162343755</c:v>
                </c:pt>
                <c:pt idx="3">
                  <c:v>0.53535032283984374</c:v>
                </c:pt>
                <c:pt idx="4">
                  <c:v>0.44209694651806636</c:v>
                </c:pt>
              </c:numCache>
            </c:numRef>
          </c:val>
          <c:extLst>
            <c:ext xmlns:c16="http://schemas.microsoft.com/office/drawing/2014/chart" uri="{C3380CC4-5D6E-409C-BE32-E72D297353CC}">
              <c16:uniqueId val="{00000007-3ED2-424F-A65C-F96CF1351685}"/>
            </c:ext>
          </c:extLst>
        </c:ser>
        <c:ser>
          <c:idx val="2"/>
          <c:order val="2"/>
          <c:tx>
            <c:strRef>
              <c:f>'04. FDI SO SANH '!$A$18</c:f>
              <c:strCache>
                <c:ptCount val="1"/>
                <c:pt idx="0">
                  <c:v>Góp vốn, mua cổ phần</c:v>
                </c:pt>
              </c:strCache>
            </c:strRef>
          </c:tx>
          <c:spPr>
            <a:solidFill>
              <a:schemeClr val="accent4">
                <a:lumMod val="40000"/>
                <a:lumOff val="60000"/>
              </a:schemeClr>
            </a:solidFill>
          </c:spPr>
          <c:invertIfNegative val="0"/>
          <c:dLbls>
            <c:dLbl>
              <c:idx val="0"/>
              <c:tx>
                <c:rich>
                  <a:bodyPr/>
                  <a:lstStyle/>
                  <a:p>
                    <a:r>
                      <a:rPr lang="en-US"/>
                      <a:t>0.83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ED2-424F-A65C-F96CF1351685}"/>
                </c:ext>
              </c:extLst>
            </c:dLbl>
            <c:dLbl>
              <c:idx val="1"/>
              <c:tx>
                <c:rich>
                  <a:bodyPr/>
                  <a:lstStyle/>
                  <a:p>
                    <a:r>
                      <a:rPr lang="en-US" baseline="0"/>
                      <a:t> 0</a:t>
                    </a:r>
                    <a:r>
                      <a:rPr lang="en-US"/>
                      <a:t>.54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ED2-424F-A65C-F96CF1351685}"/>
                </c:ext>
              </c:extLst>
            </c:dLbl>
            <c:dLbl>
              <c:idx val="2"/>
              <c:tx>
                <c:rich>
                  <a:bodyPr/>
                  <a:lstStyle/>
                  <a:p>
                    <a:r>
                      <a:rPr lang="en-US"/>
                      <a:t>0.77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ED2-424F-A65C-F96CF1351685}"/>
                </c:ext>
              </c:extLst>
            </c:dLbl>
            <c:dLbl>
              <c:idx val="3"/>
              <c:tx>
                <c:rich>
                  <a:bodyPr wrap="square" lIns="38100" tIns="19050" rIns="38100" bIns="19050" anchor="ctr">
                    <a:noAutofit/>
                  </a:bodyPr>
                  <a:lstStyle/>
                  <a:p>
                    <a:pPr>
                      <a:defRPr/>
                    </a:pPr>
                    <a:r>
                      <a:rPr lang="en-US" baseline="0"/>
                      <a:t>0.80</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3ED2-424F-A65C-F96CF1351685}"/>
                </c:ext>
              </c:extLst>
            </c:dLbl>
            <c:dLbl>
              <c:idx val="4"/>
              <c:layout>
                <c:manualLayout>
                  <c:x val="2.4024019479507323E-2"/>
                  <c:y val="0"/>
                </c:manualLayout>
              </c:layout>
              <c:tx>
                <c:rich>
                  <a:bodyPr/>
                  <a:lstStyle/>
                  <a:p>
                    <a:r>
                      <a:rPr lang="en-US"/>
                      <a:t> 0.26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ED2-424F-A65C-F96CF13516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0.82731427435600213</c:v>
                </c:pt>
                <c:pt idx="1">
                  <c:v>0.54309769858322487</c:v>
                </c:pt>
                <c:pt idx="2">
                  <c:v>0.76959727012500001</c:v>
                </c:pt>
                <c:pt idx="3">
                  <c:v>0.79787088626999991</c:v>
                </c:pt>
                <c:pt idx="4">
                  <c:v>0.25542473719000003</c:v>
                </c:pt>
              </c:numCache>
            </c:numRef>
          </c:val>
          <c:extLst>
            <c:ext xmlns:c16="http://schemas.microsoft.com/office/drawing/2014/chart" uri="{C3380CC4-5D6E-409C-BE32-E72D297353CC}">
              <c16:uniqueId val="{0000000D-3ED2-424F-A65C-F96CF1351685}"/>
            </c:ext>
          </c:extLst>
        </c:ser>
        <c:dLbls>
          <c:showLegendKey val="0"/>
          <c:showVal val="0"/>
          <c:showCatName val="0"/>
          <c:showSerName val="0"/>
          <c:showPercent val="0"/>
          <c:showBubbleSize val="0"/>
        </c:dLbls>
        <c:gapWidth val="150"/>
        <c:overlap val="100"/>
        <c:axId val="1358604352"/>
        <c:axId val="1358607072"/>
      </c:barChart>
      <c:catAx>
        <c:axId val="1358604352"/>
        <c:scaling>
          <c:orientation val="minMax"/>
        </c:scaling>
        <c:delete val="0"/>
        <c:axPos val="l"/>
        <c:numFmt formatCode="General" sourceLinked="1"/>
        <c:majorTickMark val="out"/>
        <c:minorTickMark val="none"/>
        <c:tickLblPos val="nextTo"/>
        <c:crossAx val="1358607072"/>
        <c:crosses val="autoZero"/>
        <c:auto val="1"/>
        <c:lblAlgn val="ctr"/>
        <c:lblOffset val="100"/>
        <c:noMultiLvlLbl val="0"/>
      </c:catAx>
      <c:valAx>
        <c:axId val="1358607072"/>
        <c:scaling>
          <c:orientation val="minMax"/>
        </c:scaling>
        <c:delete val="0"/>
        <c:axPos val="b"/>
        <c:majorGridlines/>
        <c:numFmt formatCode="0.00" sourceLinked="1"/>
        <c:majorTickMark val="out"/>
        <c:minorTickMark val="none"/>
        <c:tickLblPos val="nextTo"/>
        <c:crossAx val="135860435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2020</c:v>
                </c:pt>
                <c:pt idx="1">
                  <c:v>2021</c:v>
                </c:pt>
                <c:pt idx="2">
                  <c:v>2022</c:v>
                </c:pt>
                <c:pt idx="3">
                  <c:v>2023</c:v>
                </c:pt>
                <c:pt idx="4">
                  <c:v>2024</c:v>
                </c:pt>
              </c:numCache>
            </c:numRef>
          </c:cat>
          <c:val>
            <c:numRef>
              <c:f>Sheet2!$B$5:$F$5</c:f>
              <c:numCache>
                <c:formatCode>0.00</c:formatCode>
                <c:ptCount val="5"/>
                <c:pt idx="0">
                  <c:v>2.4500000000000002</c:v>
                </c:pt>
                <c:pt idx="1">
                  <c:v>2.5</c:v>
                </c:pt>
                <c:pt idx="2">
                  <c:v>2.68</c:v>
                </c:pt>
                <c:pt idx="3">
                  <c:v>2.5499999999999998</c:v>
                </c:pt>
                <c:pt idx="4">
                  <c:v>2.8</c:v>
                </c:pt>
              </c:numCache>
            </c:numRef>
          </c:val>
          <c:extLst>
            <c:ext xmlns:c16="http://schemas.microsoft.com/office/drawing/2014/chart" uri="{C3380CC4-5D6E-409C-BE32-E72D297353CC}">
              <c16:uniqueId val="{00000000-9CCF-454D-8E92-17C8C52173BC}"/>
            </c:ext>
          </c:extLst>
        </c:ser>
        <c:dLbls>
          <c:showLegendKey val="0"/>
          <c:showVal val="0"/>
          <c:showCatName val="0"/>
          <c:showSerName val="0"/>
          <c:showPercent val="0"/>
          <c:showBubbleSize val="0"/>
        </c:dLbls>
        <c:gapWidth val="219"/>
        <c:overlap val="-27"/>
        <c:axId val="1358613600"/>
        <c:axId val="1358614688"/>
      </c:barChart>
      <c:catAx>
        <c:axId val="135861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614688"/>
        <c:crosses val="autoZero"/>
        <c:auto val="1"/>
        <c:lblAlgn val="ctr"/>
        <c:lblOffset val="100"/>
        <c:noMultiLvlLbl val="0"/>
      </c:catAx>
      <c:valAx>
        <c:axId val="1358614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61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4.2086943433146343E-3"/>
                  <c:y val="9.480885025118466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94-490A-A010-8C0660AAE31A}"/>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94-490A-A010-8C0660AAE31A}"/>
                </c:ext>
              </c:extLst>
            </c:dLbl>
            <c:dLbl>
              <c:idx val="2"/>
              <c:layout>
                <c:manualLayout>
                  <c:x val="-1.9253148911941563E-3"/>
                  <c:y val="-2.0404136229959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94-490A-A010-8C0660AAE31A}"/>
                </c:ext>
              </c:extLst>
            </c:dLbl>
            <c:dLbl>
              <c:idx val="3"/>
              <c:layout>
                <c:manualLayout>
                  <c:x val="1.8321903310473287E-3"/>
                  <c:y val="-2.9782662913742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94-490A-A010-8C0660AAE31A}"/>
                </c:ext>
              </c:extLst>
            </c:dLbl>
            <c:dLbl>
              <c:idx val="4"/>
              <c:layout>
                <c:manualLayout>
                  <c:x val="-8.7613484098202103E-17"/>
                  <c:y val="6.921295471550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94-490A-A010-8C0660AAE31A}"/>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835.27487580213312</c:v>
                </c:pt>
                <c:pt idx="1">
                  <c:v>800.08702064356794</c:v>
                </c:pt>
                <c:pt idx="2">
                  <c:v>832.00419079473875</c:v>
                </c:pt>
                <c:pt idx="3">
                  <c:v>954.6084060145115</c:v>
                </c:pt>
                <c:pt idx="4">
                  <c:v>1031.4822472782098</c:v>
                </c:pt>
              </c:numCache>
            </c:numRef>
          </c:val>
          <c:extLst>
            <c:ext xmlns:c16="http://schemas.microsoft.com/office/drawing/2014/chart" uri="{C3380CC4-5D6E-409C-BE32-E72D297353CC}">
              <c16:uniqueId val="{00000005-9894-490A-A010-8C0660AAE31A}"/>
            </c:ext>
          </c:extLst>
        </c:ser>
        <c:dLbls>
          <c:showLegendKey val="0"/>
          <c:showVal val="0"/>
          <c:showCatName val="0"/>
          <c:showSerName val="0"/>
          <c:showPercent val="0"/>
          <c:showBubbleSize val="0"/>
        </c:dLbls>
        <c:gapWidth val="120"/>
        <c:overlap val="-27"/>
        <c:axId val="1174652160"/>
        <c:axId val="1174652704"/>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20593796762E-2"/>
                  <c:y val="6.468414864431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94-490A-A010-8C0660AAE31A}"/>
                </c:ext>
              </c:extLst>
            </c:dLbl>
            <c:dLbl>
              <c:idx val="1"/>
              <c:layout>
                <c:manualLayout>
                  <c:x val="-4.2543203604925771E-2"/>
                  <c:y val="5.0138240638472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94-490A-A010-8C0660AAE31A}"/>
                </c:ext>
              </c:extLst>
            </c:dLbl>
            <c:dLbl>
              <c:idx val="2"/>
              <c:layout>
                <c:manualLayout>
                  <c:x val="-3.4726385008325575E-2"/>
                  <c:y val="6.7050628852388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94-490A-A010-8C0660AAE31A}"/>
                </c:ext>
              </c:extLst>
            </c:dLbl>
            <c:dLbl>
              <c:idx val="3"/>
              <c:layout>
                <c:manualLayout>
                  <c:x val="-4.2279231225129207E-2"/>
                  <c:y val="9.3081911141197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94-490A-A010-8C0660AAE31A}"/>
                </c:ext>
              </c:extLst>
            </c:dLbl>
            <c:dLbl>
              <c:idx val="4"/>
              <c:layout>
                <c:manualLayout>
                  <c:x val="-4.0387925124135367E-2"/>
                  <c:y val="7.2020546787874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94-490A-A010-8C0660AAE31A}"/>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4.9374598357476032</c:v>
                </c:pt>
                <c:pt idx="1">
                  <c:v>-4.2127275915935485</c:v>
                </c:pt>
                <c:pt idx="2">
                  <c:v>3.9892123391149994</c:v>
                </c:pt>
                <c:pt idx="3">
                  <c:v>14.736009334599615</c:v>
                </c:pt>
                <c:pt idx="4">
                  <c:v>8.0529189539244186</c:v>
                </c:pt>
              </c:numCache>
            </c:numRef>
          </c:val>
          <c:smooth val="0"/>
          <c:extLst>
            <c:ext xmlns:c16="http://schemas.microsoft.com/office/drawing/2014/chart" uri="{C3380CC4-5D6E-409C-BE32-E72D297353CC}">
              <c16:uniqueId val="{0000000B-9894-490A-A010-8C0660AAE31A}"/>
            </c:ext>
          </c:extLst>
        </c:ser>
        <c:dLbls>
          <c:showLegendKey val="0"/>
          <c:showVal val="0"/>
          <c:showCatName val="0"/>
          <c:showSerName val="0"/>
          <c:showPercent val="0"/>
          <c:showBubbleSize val="0"/>
        </c:dLbls>
        <c:marker val="1"/>
        <c:smooth val="0"/>
        <c:axId val="1010014736"/>
        <c:axId val="1010012560"/>
      </c:lineChart>
      <c:catAx>
        <c:axId val="1174652160"/>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174652704"/>
        <c:crosses val="autoZero"/>
        <c:auto val="1"/>
        <c:lblAlgn val="ctr"/>
        <c:lblOffset val="100"/>
        <c:noMultiLvlLbl val="0"/>
      </c:catAx>
      <c:valAx>
        <c:axId val="1174652704"/>
        <c:scaling>
          <c:orientation val="minMax"/>
        </c:scaling>
        <c:delete val="0"/>
        <c:axPos val="l"/>
        <c:majorGridlines/>
        <c:numFmt formatCode="0.0" sourceLinked="1"/>
        <c:majorTickMark val="none"/>
        <c:minorTickMark val="none"/>
        <c:tickLblPos val="nextTo"/>
        <c:txPr>
          <a:bodyPr rot="-60000000" vert="horz"/>
          <a:lstStyle/>
          <a:p>
            <a:pPr>
              <a:defRPr sz="900">
                <a:solidFill>
                  <a:srgbClr val="C00000"/>
                </a:solidFill>
                <a:latin typeface="Arial" panose="020B0604020202020204" pitchFamily="34" charset="0"/>
                <a:cs typeface="Arial" panose="020B0604020202020204" pitchFamily="34" charset="0"/>
              </a:defRPr>
            </a:pPr>
            <a:endParaRPr lang="en-US"/>
          </a:p>
        </c:txPr>
        <c:crossAx val="1174652160"/>
        <c:crosses val="autoZero"/>
        <c:crossBetween val="between"/>
      </c:valAx>
      <c:valAx>
        <c:axId val="1010012560"/>
        <c:scaling>
          <c:orientation val="minMax"/>
        </c:scaling>
        <c:delete val="0"/>
        <c:axPos val="r"/>
        <c:numFmt formatCode="0.0" sourceLinked="1"/>
        <c:majorTickMark val="out"/>
        <c:minorTickMark val="none"/>
        <c:tickLblPos val="nextTo"/>
        <c:txPr>
          <a:bodyPr rot="-60000000" vert="horz"/>
          <a:lstStyle/>
          <a:p>
            <a:pPr>
              <a:defRPr sz="900">
                <a:solidFill>
                  <a:schemeClr val="tx2">
                    <a:lumMod val="75000"/>
                  </a:schemeClr>
                </a:solidFill>
                <a:latin typeface="Arial" panose="020B0604020202020204" pitchFamily="34" charset="0"/>
                <a:cs typeface="Arial" panose="020B0604020202020204" pitchFamily="34" charset="0"/>
              </a:defRPr>
            </a:pPr>
            <a:endParaRPr lang="en-US"/>
          </a:p>
        </c:txPr>
        <c:crossAx val="1010014736"/>
        <c:crosses val="max"/>
        <c:crossBetween val="between"/>
      </c:valAx>
      <c:catAx>
        <c:axId val="1010014736"/>
        <c:scaling>
          <c:orientation val="minMax"/>
        </c:scaling>
        <c:delete val="1"/>
        <c:axPos val="b"/>
        <c:numFmt formatCode="General" sourceLinked="1"/>
        <c:majorTickMark val="out"/>
        <c:minorTickMark val="none"/>
        <c:tickLblPos val="nextTo"/>
        <c:crossAx val="1010012560"/>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8.0549999999999997</c:v>
                </c:pt>
                <c:pt idx="1">
                  <c:v>17.399999999999999</c:v>
                </c:pt>
                <c:pt idx="2">
                  <c:v>3.99</c:v>
                </c:pt>
                <c:pt idx="3">
                  <c:v>5.4809999999999999</c:v>
                </c:pt>
                <c:pt idx="4">
                  <c:v>7.6970000000000001</c:v>
                </c:pt>
                <c:pt idx="5">
                  <c:v>3.9790000000000001</c:v>
                </c:pt>
              </c:numCache>
            </c:numRef>
          </c:val>
          <c:extLst>
            <c:ext xmlns:c16="http://schemas.microsoft.com/office/drawing/2014/chart" uri="{C3380CC4-5D6E-409C-BE32-E72D297353CC}">
              <c16:uniqueId val="{00000000-19F5-4BC9-BDA2-F64F80E4C567}"/>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0"/>
                  <c:y val="-1.9829049224783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F5-4BC9-BDA2-F64F80E4C56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20.88</c:v>
                </c:pt>
                <c:pt idx="1">
                  <c:v>2.1850000000000001</c:v>
                </c:pt>
                <c:pt idx="2">
                  <c:v>7.7380000000000004</c:v>
                </c:pt>
                <c:pt idx="3">
                  <c:v>6.5279999999999996</c:v>
                </c:pt>
                <c:pt idx="4">
                  <c:v>2.35</c:v>
                </c:pt>
                <c:pt idx="5">
                  <c:v>3.5720000000000001</c:v>
                </c:pt>
              </c:numCache>
            </c:numRef>
          </c:val>
          <c:extLst>
            <c:ext xmlns:c16="http://schemas.microsoft.com/office/drawing/2014/chart" uri="{C3380CC4-5D6E-409C-BE32-E72D297353CC}">
              <c16:uniqueId val="{00000002-19F5-4BC9-BDA2-F64F80E4C567}"/>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5A-4E85-AEFC-2D4C188C171A}"/>
                </c:ext>
              </c:extLst>
            </c:dLbl>
            <c:dLbl>
              <c:idx val="1"/>
              <c:layout>
                <c:manualLayout>
                  <c:x val="2.3187079414001704E-2"/>
                  <c:y val="8.4411658528447432E-3"/>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5900823674746"/>
                      <c:h val="6.1848023077025319E-2"/>
                    </c:manualLayout>
                  </c15:layout>
                </c:ext>
                <c:ext xmlns:c16="http://schemas.microsoft.com/office/drawing/2014/chart" uri="{C3380CC4-5D6E-409C-BE32-E72D297353CC}">
                  <c16:uniqueId val="{00000001-F75A-4E85-AEFC-2D4C188C171A}"/>
                </c:ext>
              </c:extLst>
            </c:dLbl>
            <c:dLbl>
              <c:idx val="2"/>
              <c:layout>
                <c:manualLayout>
                  <c:x val="-1.4030188860030045E-5"/>
                  <c:y val="9.84805852560495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5A-4E85-AEFC-2D4C188C171A}"/>
                </c:ext>
              </c:extLst>
            </c:dLbl>
            <c:dLbl>
              <c:idx val="3"/>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5A-4E85-AEFC-2D4C188C171A}"/>
                </c:ext>
              </c:extLst>
            </c:dLbl>
            <c:dLbl>
              <c:idx val="4"/>
              <c:layout>
                <c:manualLayout>
                  <c:x val="-1.8040427475900584E-2"/>
                  <c:y val="1.2208047713788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5A-4E85-AEFC-2D4C188C171A}"/>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5A-4E85-AEFC-2D4C188C171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7.7</c:v>
                </c:pt>
                <c:pt idx="1">
                  <c:v>33.700000000000003</c:v>
                </c:pt>
                <c:pt idx="2">
                  <c:v>4.3</c:v>
                </c:pt>
                <c:pt idx="3">
                  <c:v>8.6664125429529264</c:v>
                </c:pt>
                <c:pt idx="4" formatCode="General">
                  <c:v>14.2</c:v>
                </c:pt>
                <c:pt idx="5">
                  <c:v>19.600000000000001</c:v>
                </c:pt>
              </c:numCache>
            </c:numRef>
          </c:val>
          <c:extLst>
            <c:ext xmlns:c16="http://schemas.microsoft.com/office/drawing/2014/chart" uri="{C3380CC4-5D6E-409C-BE32-E72D297353CC}">
              <c16:uniqueId val="{00000006-F75A-4E85-AEFC-2D4C188C171A}"/>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5A-4E85-AEFC-2D4C188C171A}"/>
                </c:ext>
              </c:extLst>
            </c:dLbl>
            <c:dLbl>
              <c:idx val="1"/>
              <c:layout>
                <c:manualLayout>
                  <c:x val="7.7802530224790603E-3"/>
                  <c:y val="8.1398800951794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5A-4E85-AEFC-2D4C188C171A}"/>
                </c:ext>
              </c:extLst>
            </c:dLbl>
            <c:dLbl>
              <c:idx val="3"/>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5A-4E85-AEFC-2D4C188C171A}"/>
                </c:ext>
              </c:extLst>
            </c:dLbl>
            <c:dLbl>
              <c:idx val="4"/>
              <c:layout>
                <c:manualLayout>
                  <c:x val="1.361783818743632E-2"/>
                  <c:y val="1.6656401348818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5A-4E85-AEFC-2D4C188C171A}"/>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5A-4E85-AEFC-2D4C188C171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49.7</c:v>
                </c:pt>
                <c:pt idx="1">
                  <c:v>16.7</c:v>
                </c:pt>
                <c:pt idx="2">
                  <c:v>-0.1</c:v>
                </c:pt>
                <c:pt idx="3">
                  <c:v>2.2000000000000002</c:v>
                </c:pt>
                <c:pt idx="4" formatCode="0.0">
                  <c:v>14.7</c:v>
                </c:pt>
                <c:pt idx="5" formatCode="0.0">
                  <c:v>0.7</c:v>
                </c:pt>
              </c:numCache>
            </c:numRef>
          </c:val>
          <c:extLst>
            <c:ext xmlns:c16="http://schemas.microsoft.com/office/drawing/2014/chart" uri="{C3380CC4-5D6E-409C-BE32-E72D297353CC}">
              <c16:uniqueId val="{0000000C-F75A-4E85-AEFC-2D4C188C171A}"/>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 (sua dinh dang)'!$B$1</c:f>
              <c:strCache>
                <c:ptCount val="1"/>
                <c:pt idx="0">
                  <c:v>Hình 1: Tốc độ tăng/giảm CPI tháng 02/2024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7497-4A52-89C9-729F2BD07464}"/>
              </c:ext>
            </c:extLst>
          </c:dPt>
          <c:dPt>
            <c:idx val="1"/>
            <c:invertIfNegative val="0"/>
            <c:bubble3D val="0"/>
            <c:spPr>
              <a:solidFill>
                <a:srgbClr val="FF0000"/>
              </a:solidFill>
              <a:ln>
                <a:noFill/>
              </a:ln>
              <a:effectLst/>
            </c:spPr>
            <c:extLst>
              <c:ext xmlns:c16="http://schemas.microsoft.com/office/drawing/2014/chart" uri="{C3380CC4-5D6E-409C-BE32-E72D297353CC}">
                <c16:uniqueId val="{00000003-7497-4A52-89C9-729F2BD07464}"/>
              </c:ext>
            </c:extLst>
          </c:dPt>
          <c:dPt>
            <c:idx val="2"/>
            <c:invertIfNegative val="0"/>
            <c:bubble3D val="0"/>
            <c:spPr>
              <a:solidFill>
                <a:srgbClr val="FF0000"/>
              </a:solidFill>
              <a:ln>
                <a:noFill/>
              </a:ln>
              <a:effectLst/>
            </c:spPr>
            <c:extLst>
              <c:ext xmlns:c16="http://schemas.microsoft.com/office/drawing/2014/chart" uri="{C3380CC4-5D6E-409C-BE32-E72D297353CC}">
                <c16:uniqueId val="{00000005-7497-4A52-89C9-729F2BD07464}"/>
              </c:ext>
            </c:extLst>
          </c:dPt>
          <c:dPt>
            <c:idx val="3"/>
            <c:invertIfNegative val="0"/>
            <c:bubble3D val="0"/>
            <c:spPr>
              <a:solidFill>
                <a:srgbClr val="FF0000"/>
              </a:solidFill>
              <a:ln>
                <a:noFill/>
              </a:ln>
              <a:effectLst/>
            </c:spPr>
            <c:extLst>
              <c:ext xmlns:c16="http://schemas.microsoft.com/office/drawing/2014/chart" uri="{C3380CC4-5D6E-409C-BE32-E72D297353CC}">
                <c16:uniqueId val="{00000007-7497-4A52-89C9-729F2BD07464}"/>
              </c:ext>
            </c:extLst>
          </c:dPt>
          <c:dPt>
            <c:idx val="4"/>
            <c:invertIfNegative val="0"/>
            <c:bubble3D val="0"/>
            <c:spPr>
              <a:solidFill>
                <a:srgbClr val="FF0000"/>
              </a:solidFill>
              <a:ln>
                <a:noFill/>
              </a:ln>
              <a:effectLst/>
            </c:spPr>
            <c:extLst>
              <c:ext xmlns:c16="http://schemas.microsoft.com/office/drawing/2014/chart" uri="{C3380CC4-5D6E-409C-BE32-E72D297353CC}">
                <c16:uniqueId val="{00000009-7497-4A52-89C9-729F2BD07464}"/>
              </c:ext>
            </c:extLst>
          </c:dPt>
          <c:dPt>
            <c:idx val="5"/>
            <c:invertIfNegative val="0"/>
            <c:bubble3D val="0"/>
            <c:spPr>
              <a:solidFill>
                <a:srgbClr val="FF0000"/>
              </a:solidFill>
              <a:ln>
                <a:noFill/>
              </a:ln>
              <a:effectLst/>
            </c:spPr>
            <c:extLst>
              <c:ext xmlns:c16="http://schemas.microsoft.com/office/drawing/2014/chart" uri="{C3380CC4-5D6E-409C-BE32-E72D297353CC}">
                <c16:uniqueId val="{0000000B-7497-4A52-89C9-729F2BD07464}"/>
              </c:ext>
            </c:extLst>
          </c:dPt>
          <c:dPt>
            <c:idx val="6"/>
            <c:invertIfNegative val="0"/>
            <c:bubble3D val="0"/>
            <c:spPr>
              <a:solidFill>
                <a:srgbClr val="FF0000"/>
              </a:solidFill>
              <a:ln>
                <a:noFill/>
              </a:ln>
              <a:effectLst/>
            </c:spPr>
            <c:extLst>
              <c:ext xmlns:c16="http://schemas.microsoft.com/office/drawing/2014/chart" uri="{C3380CC4-5D6E-409C-BE32-E72D297353CC}">
                <c16:uniqueId val="{0000000D-7497-4A52-89C9-729F2BD07464}"/>
              </c:ext>
            </c:extLst>
          </c:dPt>
          <c:dPt>
            <c:idx val="7"/>
            <c:invertIfNegative val="0"/>
            <c:bubble3D val="0"/>
            <c:spPr>
              <a:solidFill>
                <a:srgbClr val="FF0000"/>
              </a:solidFill>
              <a:ln>
                <a:noFill/>
              </a:ln>
              <a:effectLst/>
            </c:spPr>
            <c:extLst>
              <c:ext xmlns:c16="http://schemas.microsoft.com/office/drawing/2014/chart" uri="{C3380CC4-5D6E-409C-BE32-E72D297353CC}">
                <c16:uniqueId val="{0000000F-7497-4A52-89C9-729F2BD07464}"/>
              </c:ext>
            </c:extLst>
          </c:dPt>
          <c:dPt>
            <c:idx val="8"/>
            <c:invertIfNegative val="0"/>
            <c:bubble3D val="0"/>
            <c:spPr>
              <a:solidFill>
                <a:srgbClr val="FF0000"/>
              </a:solidFill>
              <a:ln>
                <a:noFill/>
              </a:ln>
              <a:effectLst/>
            </c:spPr>
            <c:extLst>
              <c:ext xmlns:c16="http://schemas.microsoft.com/office/drawing/2014/chart" uri="{C3380CC4-5D6E-409C-BE32-E72D297353CC}">
                <c16:uniqueId val="{00000011-7497-4A52-89C9-729F2BD07464}"/>
              </c:ext>
            </c:extLst>
          </c:dPt>
          <c:dPt>
            <c:idx val="9"/>
            <c:invertIfNegative val="0"/>
            <c:bubble3D val="0"/>
            <c:spPr>
              <a:solidFill>
                <a:srgbClr val="FF0000"/>
              </a:solidFill>
              <a:ln>
                <a:noFill/>
              </a:ln>
              <a:effectLst/>
            </c:spPr>
            <c:extLst>
              <c:ext xmlns:c16="http://schemas.microsoft.com/office/drawing/2014/chart" uri="{C3380CC4-5D6E-409C-BE32-E72D297353CC}">
                <c16:uniqueId val="{00000013-7497-4A52-89C9-729F2BD07464}"/>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7497-4A52-89C9-729F2BD07464}"/>
              </c:ext>
            </c:extLst>
          </c:dPt>
          <c:dPt>
            <c:idx val="11"/>
            <c:invertIfNegative val="0"/>
            <c:bubble3D val="0"/>
            <c:spPr>
              <a:solidFill>
                <a:srgbClr val="00B050"/>
              </a:solidFill>
              <a:ln>
                <a:noFill/>
              </a:ln>
              <a:effectLst/>
            </c:spPr>
            <c:extLst>
              <c:ext xmlns:c16="http://schemas.microsoft.com/office/drawing/2014/chart" uri="{C3380CC4-5D6E-409C-BE32-E72D297353CC}">
                <c16:uniqueId val="{00000017-7497-4A52-89C9-729F2BD074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 (sua dinh dang)'!$A$2:$A$14</c:f>
              <c:strCache>
                <c:ptCount val="12"/>
                <c:pt idx="0">
                  <c:v>CHỈ SỐ GIÁ TIÊU DÙNG</c:v>
                </c:pt>
                <c:pt idx="1">
                  <c:v>VII. Giao thông</c:v>
                </c:pt>
                <c:pt idx="2">
                  <c:v>I. Hàng ăn và dịch vụ ăn uống</c:v>
                </c:pt>
                <c:pt idx="3">
                  <c:v>II. Đồ uống và thuốc lá</c:v>
                </c:pt>
                <c:pt idx="4">
                  <c:v>X. Văn hoá, giải trí và du lịch</c:v>
                </c:pt>
                <c:pt idx="5">
                  <c:v>XI. Hàng hoá và dịch vụ khác</c:v>
                </c:pt>
                <c:pt idx="6">
                  <c:v>IV. Nhà ở và vật liệu xây dựng</c:v>
                </c:pt>
                <c:pt idx="7">
                  <c:v>V. Thiết bị và đồ dùng gia đình</c:v>
                </c:pt>
                <c:pt idx="8">
                  <c:v>III. May mặc, mũ nón, giày dép</c:v>
                </c:pt>
                <c:pt idx="9">
                  <c:v>VI. Thuốc và dịch vụ y tế</c:v>
                </c:pt>
                <c:pt idx="10">
                  <c:v>VIII. Bưu chính, viễn thông</c:v>
                </c:pt>
                <c:pt idx="11">
                  <c:v>IX. Giáo dục</c:v>
                </c:pt>
              </c:strCache>
            </c:strRef>
          </c:cat>
          <c:val>
            <c:numRef>
              <c:f>'Biểu đồ 1 (sua dinh dang)'!$B$2:$B$14</c:f>
              <c:numCache>
                <c:formatCode>0.00%</c:formatCode>
                <c:ptCount val="13"/>
                <c:pt idx="0">
                  <c:v>1.0373000000000019E-2</c:v>
                </c:pt>
                <c:pt idx="1">
                  <c:v>3.0889086427265511E-2</c:v>
                </c:pt>
                <c:pt idx="2">
                  <c:v>1.7146000000000043E-2</c:v>
                </c:pt>
                <c:pt idx="3">
                  <c:v>8.028999999999939E-3</c:v>
                </c:pt>
                <c:pt idx="4">
                  <c:v>7.8799999999999669E-3</c:v>
                </c:pt>
                <c:pt idx="5">
                  <c:v>7.8400000000000605E-3</c:v>
                </c:pt>
                <c:pt idx="6">
                  <c:v>4.3210000000000548E-3</c:v>
                </c:pt>
                <c:pt idx="7">
                  <c:v>2.5849999999999797E-3</c:v>
                </c:pt>
                <c:pt idx="8">
                  <c:v>1.6169999999999618E-3</c:v>
                </c:pt>
                <c:pt idx="9">
                  <c:v>2.3300000000006093E-4</c:v>
                </c:pt>
                <c:pt idx="10">
                  <c:v>-1.740999999999957E-3</c:v>
                </c:pt>
                <c:pt idx="11">
                  <c:v>-4.2480000000000469E-3</c:v>
                </c:pt>
              </c:numCache>
            </c:numRef>
          </c:val>
          <c:extLst>
            <c:ext xmlns:c16="http://schemas.microsoft.com/office/drawing/2014/chart" uri="{C3380CC4-5D6E-409C-BE32-E72D297353CC}">
              <c16:uniqueId val="{00000018-7497-4A52-89C9-729F2BD07464}"/>
            </c:ext>
          </c:extLst>
        </c:ser>
        <c:dLbls>
          <c:showLegendKey val="0"/>
          <c:showVal val="0"/>
          <c:showCatName val="0"/>
          <c:showSerName val="0"/>
          <c:showPercent val="0"/>
          <c:showBubbleSize val="0"/>
        </c:dLbls>
        <c:gapWidth val="166"/>
        <c:axId val="1139766784"/>
        <c:axId val="1381315088"/>
      </c:barChart>
      <c:catAx>
        <c:axId val="113976678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81315088"/>
        <c:crosses val="autoZero"/>
        <c:auto val="1"/>
        <c:lblAlgn val="ctr"/>
        <c:lblOffset val="100"/>
        <c:noMultiLvlLbl val="0"/>
      </c:catAx>
      <c:valAx>
        <c:axId val="13813150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39766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0.192</cdr:x>
      <cdr:y>0.5834</cdr:y>
    </cdr:from>
    <cdr:to>
      <cdr:x>0.21117</cdr:x>
      <cdr:y>0.61881</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1589948" y="2107920"/>
          <a:ext cx="12880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0.13185</cdr:x>
      <cdr:y>0.18827</cdr:y>
    </cdr:from>
    <cdr:to>
      <cdr:x>0.21955</cdr:x>
      <cdr:y>0.24926</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783663" y="604333"/>
          <a:ext cx="521261" cy="1957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0.61294</cdr:y>
    </cdr:from>
    <cdr:to>
      <cdr:x>0.5609</cdr:x>
      <cdr:y>0.68249</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804962" y="1967490"/>
          <a:ext cx="528787" cy="22325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0.19988</cdr:x>
      <cdr:y>0.5701</cdr:y>
    </cdr:from>
    <cdr:to>
      <cdr:x>0.28361</cdr:x>
      <cdr:y>0.62686</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1139296" y="1668156"/>
          <a:ext cx="477231" cy="1660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0.4626</cdr:x>
      <cdr:y>0.62209</cdr:y>
    </cdr:from>
    <cdr:to>
      <cdr:x>0.48178</cdr:x>
      <cdr:y>0.6575</cdr:y>
    </cdr:to>
    <cdr:sp macro="" textlink="">
      <cdr:nvSpPr>
        <cdr:cNvPr id="9"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3810732" y="2248613"/>
          <a:ext cx="128807" cy="157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0.60671</cdr:y>
    </cdr:from>
    <cdr:to>
      <cdr:x>0.37981</cdr:x>
      <cdr:y>0.64688</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737135" y="1947494"/>
          <a:ext cx="520289" cy="1289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16,8%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0.37344</cdr:x>
      <cdr:y>0.6072</cdr:y>
    </cdr:from>
    <cdr:to>
      <cdr:x>0.47078</cdr:x>
      <cdr:y>0.67336</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2128492" y="1776716"/>
          <a:ext cx="554837" cy="1935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30</a:t>
          </a:r>
          <a:r>
            <a:rPr lang="en-US" sz="800">
              <a:solidFill>
                <a:sysClr val="windowText" lastClr="000000"/>
              </a:solidFill>
              <a:latin typeface="Arial" panose="020B0604020202020204" pitchFamily="34" charset="0"/>
              <a:cs typeface="Arial" panose="020B0604020202020204" pitchFamily="34" charset="0"/>
            </a:rPr>
            <a:t>,2%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0.55089</cdr:x>
      <cdr:y>0.61142</cdr:y>
    </cdr:from>
    <cdr:to>
      <cdr:x>0.64076</cdr:x>
      <cdr:y>0.66964</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139913" y="1789060"/>
          <a:ext cx="512244" cy="1703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0.70406</cdr:x>
      <cdr:y>0.62739</cdr:y>
    </cdr:from>
    <cdr:to>
      <cdr:x>0.72323</cdr:x>
      <cdr:y>0.6628</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754622" y="2775181"/>
          <a:ext cx="156633"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0.61246</cdr:y>
    </cdr:from>
    <cdr:to>
      <cdr:x>0.80769</cdr:x>
      <cdr:y>0.67656</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247712" y="1965951"/>
          <a:ext cx="552888" cy="2057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0.63181</cdr:x>
      <cdr:y>0.57341</cdr:y>
    </cdr:from>
    <cdr:to>
      <cdr:x>0.71481</cdr:x>
      <cdr:y>0.6743</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601169" y="1677842"/>
          <a:ext cx="473080" cy="2952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0.61128</cdr:y>
    </cdr:from>
    <cdr:to>
      <cdr:x>0.87822</cdr:x>
      <cdr:y>0.67323</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4780259" y="1962151"/>
          <a:ext cx="439529" cy="1988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0.88198</cdr:x>
      <cdr:y>0.62592</cdr:y>
    </cdr:from>
    <cdr:to>
      <cdr:x>0.89903</cdr:x>
      <cdr:y>0.66222</cdr:y>
    </cdr:to>
    <cdr:sp macro="" textlink="">
      <cdr:nvSpPr>
        <cdr:cNvPr id="21" name="Arrow: Right 20">
          <a:extLst xmlns:a="http://schemas.openxmlformats.org/drawingml/2006/main">
            <a:ext uri="{FF2B5EF4-FFF2-40B4-BE49-F238E27FC236}">
              <a16:creationId xmlns:a16="http://schemas.microsoft.com/office/drawing/2014/main" id="{1E87484A-DBA1-C3C1-F73C-BF1038B0975F}"/>
            </a:ext>
          </a:extLst>
        </cdr:cNvPr>
        <cdr:cNvSpPr/>
      </cdr:nvSpPr>
      <cdr:spPr>
        <a:xfrm xmlns:a="http://schemas.openxmlformats.org/drawingml/2006/main" rot="5400000" flipV="1">
          <a:off x="7242111" y="2272918"/>
          <a:ext cx="132029" cy="13988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0.61246</cdr:y>
    </cdr:from>
    <cdr:to>
      <cdr:x>0.97596</cdr:x>
      <cdr:y>0.67359</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329091" y="1965951"/>
          <a:ext cx="471634" cy="1962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0.11761</cdr:x>
      <cdr:y>0.2025</cdr:y>
    </cdr:from>
    <cdr:to>
      <cdr:x>0.13678</cdr:x>
      <cdr:y>0.23791</cdr:y>
    </cdr:to>
    <cdr:sp macro="" textlink="">
      <cdr:nvSpPr>
        <cdr:cNvPr id="24"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979458" y="722343"/>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0.3719</cdr:x>
      <cdr:y>0.6253</cdr:y>
    </cdr:from>
    <cdr:to>
      <cdr:x>0.39107</cdr:x>
      <cdr:y>0.66071</cdr:y>
    </cdr:to>
    <cdr:sp macro="" textlink="">
      <cdr:nvSpPr>
        <cdr:cNvPr id="26"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3066323" y="2260320"/>
          <a:ext cx="12880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0.79553</cdr:x>
      <cdr:y>0.63053</cdr:y>
    </cdr:from>
    <cdr:to>
      <cdr:x>0.8147</cdr:x>
      <cdr:y>0.66594</cdr:y>
    </cdr:to>
    <cdr:sp macro="" textlink="">
      <cdr:nvSpPr>
        <cdr:cNvPr id="28"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6542948" y="2279370"/>
          <a:ext cx="12880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0.54367</cdr:x>
      <cdr:y>0.63315</cdr:y>
    </cdr:from>
    <cdr:to>
      <cdr:x>0.56284</cdr:x>
      <cdr:y>0.66856</cdr:y>
    </cdr:to>
    <cdr:sp macro="" textlink="">
      <cdr:nvSpPr>
        <cdr:cNvPr id="30"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4476023" y="2288895"/>
          <a:ext cx="12880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0.62724</cdr:x>
      <cdr:y>0.63053</cdr:y>
    </cdr:from>
    <cdr:to>
      <cdr:x>0.64641</cdr:x>
      <cdr:y>0.66594</cdr:y>
    </cdr:to>
    <cdr:sp macro="" textlink="">
      <cdr:nvSpPr>
        <cdr:cNvPr id="36"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5161823" y="2279370"/>
          <a:ext cx="12880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0.28137</cdr:x>
      <cdr:y>0.61744</cdr:y>
    </cdr:from>
    <cdr:to>
      <cdr:x>0.30054</cdr:x>
      <cdr:y>0.65285</cdr:y>
    </cdr:to>
    <cdr:sp macro="" textlink="">
      <cdr:nvSpPr>
        <cdr:cNvPr id="37"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2323373" y="2231745"/>
          <a:ext cx="12880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0.13817</cdr:x>
      <cdr:y>0.06792</cdr:y>
    </cdr:from>
    <cdr:to>
      <cdr:x>0.22446</cdr:x>
      <cdr:y>0.12955</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787513" y="192563"/>
          <a:ext cx="491833" cy="1747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0.71737</cdr:x>
      <cdr:y>0.54453</cdr:y>
    </cdr:from>
    <cdr:to>
      <cdr:x>0.79241</cdr:x>
      <cdr:y>0.60531</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088811" y="1543904"/>
          <a:ext cx="427710" cy="1723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0.1307</cdr:x>
      <cdr:y>0.07914</cdr:y>
    </cdr:from>
    <cdr:to>
      <cdr:x>0.14988</cdr:x>
      <cdr:y>0.11455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749425" y="219909"/>
          <a:ext cx="100397" cy="10932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0.42691</cdr:x>
      <cdr:y>0.49899</cdr:y>
    </cdr:from>
    <cdr:to>
      <cdr:x>0.4461</cdr:x>
      <cdr:y>0.5344</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437775" y="1410317"/>
          <a:ext cx="100397" cy="1093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0.62347</cdr:x>
      <cdr:y>0.53812</cdr:y>
    </cdr:from>
    <cdr:to>
      <cdr:x>0.64265</cdr:x>
      <cdr:y>0.57353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3558064" y="1521261"/>
          <a:ext cx="100397" cy="10932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0.24241</cdr:x>
      <cdr:y>0.38285</cdr:y>
    </cdr:from>
    <cdr:to>
      <cdr:x>0.36184</cdr:x>
      <cdr:y>0.42372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381681" y="1085492"/>
          <a:ext cx="680722" cy="1158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0.34252</cdr:x>
      <cdr:y>0.44435</cdr:y>
    </cdr:from>
    <cdr:to>
      <cdr:x>0.46027</cdr:x>
      <cdr:y>0.54447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1952254" y="1259867"/>
          <a:ext cx="671203" cy="2838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0.43303</cdr:x>
      <cdr:y>0.48452</cdr:y>
    </cdr:from>
    <cdr:to>
      <cdr:x>0.53059</cdr:x>
      <cdr:y>0.58178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468139" y="1373756"/>
          <a:ext cx="556125" cy="27575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0.53045</cdr:x>
      <cdr:y>0.49325</cdr:y>
    </cdr:from>
    <cdr:to>
      <cdr:x>0.62802</cdr:x>
      <cdr:y>0.57864</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023414" y="1398509"/>
          <a:ext cx="556126" cy="2421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0.62834</cdr:x>
      <cdr:y>0.51964</cdr:y>
    </cdr:from>
    <cdr:to>
      <cdr:x>0.72414</cdr:x>
      <cdr:y>0.59555</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581400" y="1473335"/>
          <a:ext cx="546028" cy="2152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0.82545</cdr:x>
      <cdr:y>0.55771</cdr:y>
    </cdr:from>
    <cdr:to>
      <cdr:x>0.93346</cdr:x>
      <cdr:y>0.61859</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704841" y="1581268"/>
          <a:ext cx="615631" cy="1726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0.91987</cdr:x>
      <cdr:y>0.56721</cdr:y>
    </cdr:from>
    <cdr:to>
      <cdr:x>1</cdr:x>
      <cdr:y>0.62356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43038" y="1608202"/>
          <a:ext cx="456722" cy="1597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0.33213</cdr:x>
      <cdr:y>0.47274</cdr:y>
    </cdr:from>
    <cdr:to>
      <cdr:x>0.35131</cdr:x>
      <cdr:y>0.50815</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120113" y="196744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0.52464</cdr:x>
      <cdr:y>0.50707</cdr:y>
    </cdr:from>
    <cdr:to>
      <cdr:x>0.54382</cdr:x>
      <cdr:y>0.54248</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994759" y="1433227"/>
          <a:ext cx="100397" cy="1093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0.23063</cdr:x>
      <cdr:y>0.40271</cdr:y>
    </cdr:from>
    <cdr:to>
      <cdr:x>0.24981</cdr:x>
      <cdr:y>0.43812</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2171247" y="1673705"/>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0.71065</cdr:x>
      <cdr:y>0.56593</cdr:y>
    </cdr:from>
    <cdr:to>
      <cdr:x>0.72983</cdr:x>
      <cdr:y>0.60134</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6658445" y="2358307"/>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0.91852</cdr:x>
      <cdr:y>0.58864</cdr:y>
    </cdr:from>
    <cdr:to>
      <cdr:x>0.9377</cdr:x>
      <cdr:y>0.62405</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8601545" y="2453557"/>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0.67207</cdr:x>
      <cdr:y>0.05278</cdr:y>
    </cdr:from>
    <cdr:to>
      <cdr:x>0.75496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552826" y="160873"/>
          <a:ext cx="4381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4.29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0.4973</cdr:x>
      <cdr:y>0.19444</cdr:y>
    </cdr:from>
    <cdr:to>
      <cdr:x>0.58018</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2628900" y="592653"/>
          <a:ext cx="43814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0.71532</cdr:x>
      <cdr:y>0.33333</cdr:y>
    </cdr:from>
    <cdr:to>
      <cdr:x>0.79459</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26" y="1015990"/>
          <a:ext cx="4191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5.0</a:t>
          </a:r>
        </a:p>
      </cdr:txBody>
    </cdr:sp>
  </cdr:relSizeAnchor>
  <cdr:relSizeAnchor xmlns:cdr="http://schemas.openxmlformats.org/drawingml/2006/chartDrawing">
    <cdr:from>
      <cdr:x>0.76036</cdr:x>
      <cdr:y>0.46367</cdr:y>
    </cdr:from>
    <cdr:to>
      <cdr:x>0.86486</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019551" y="1413266"/>
          <a:ext cx="5524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7" y="1847850"/>
          <a:ext cx="647708"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6.47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11099</Words>
  <Characters>41018</Characters>
  <Application>Microsoft Office Word</Application>
  <DocSecurity>0</DocSecurity>
  <Lines>341</Lines>
  <Paragraphs>104</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52013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cp:lastModifiedBy>tuấn anh lê</cp:lastModifiedBy>
  <cp:revision>2</cp:revision>
  <cp:lastPrinted>2024-02-28T09:39:00Z</cp:lastPrinted>
  <dcterms:created xsi:type="dcterms:W3CDTF">2024-02-29T01:13:00Z</dcterms:created>
  <dcterms:modified xsi:type="dcterms:W3CDTF">2024-02-29T01:13:00Z</dcterms:modified>
</cp:coreProperties>
</file>